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671" w:rsidRPr="002F4671" w:rsidRDefault="002F4671" w:rsidP="002F4671">
      <w:pPr>
        <w:pStyle w:val="H2"/>
        <w:ind w:left="907" w:hanging="907"/>
        <w:rPr>
          <w:sz w:val="28"/>
          <w:szCs w:val="28"/>
          <w:u w:val="single"/>
        </w:rPr>
      </w:pPr>
      <w:bookmarkStart w:id="0" w:name="_Toc273089362"/>
      <w:bookmarkStart w:id="1" w:name="_Toc480882606"/>
      <w:bookmarkStart w:id="2" w:name="_GoBack"/>
      <w:bookmarkEnd w:id="2"/>
      <w:r w:rsidRPr="002F4671">
        <w:rPr>
          <w:sz w:val="28"/>
          <w:szCs w:val="28"/>
          <w:u w:val="single"/>
        </w:rPr>
        <w:t>Existing Protocol Language</w:t>
      </w:r>
    </w:p>
    <w:p w:rsidR="002F4671" w:rsidRDefault="002F4671" w:rsidP="002F4671">
      <w:pPr>
        <w:pStyle w:val="H2"/>
        <w:ind w:left="907" w:hanging="907"/>
      </w:pPr>
      <w:r>
        <w:t>11.6</w:t>
      </w:r>
      <w:r>
        <w:tab/>
        <w:t>Unaccounted For Energy Analysis</w:t>
      </w:r>
      <w:bookmarkEnd w:id="0"/>
      <w:bookmarkEnd w:id="1"/>
    </w:p>
    <w:p w:rsidR="002F4671" w:rsidRDefault="002F4671" w:rsidP="002F4671">
      <w:pPr>
        <w:pStyle w:val="H3"/>
      </w:pPr>
      <w:bookmarkStart w:id="3" w:name="_Toc273089363"/>
      <w:bookmarkStart w:id="4" w:name="_Toc480882607"/>
      <w:r>
        <w:t>11.6.1</w:t>
      </w:r>
      <w:r>
        <w:tab/>
        <w:t>Overview</w:t>
      </w:r>
      <w:bookmarkEnd w:id="3"/>
      <w:bookmarkEnd w:id="4"/>
    </w:p>
    <w:p w:rsidR="002F4671" w:rsidRDefault="002F4671" w:rsidP="002F4671">
      <w:pPr>
        <w:pStyle w:val="BodyText"/>
        <w:ind w:left="720" w:hanging="720"/>
      </w:pPr>
      <w:r>
        <w:t>(1)</w:t>
      </w:r>
      <w:r>
        <w:tab/>
        <w:t xml:space="preserve">ERCOT will provide an annual Unaccounted For Energy (UFE) analysis report consisting of UFE data analysis from the preceding calendar year.  </w:t>
      </w:r>
      <w:r w:rsidRPr="000478D4">
        <w:rPr>
          <w:highlight w:val="yellow"/>
        </w:rPr>
        <w:t>This report will be based on final Settlement data and will be posted to the Market Information System (MIS</w:t>
      </w:r>
      <w:r w:rsidRPr="000478D4">
        <w:rPr>
          <w:szCs w:val="20"/>
          <w:highlight w:val="yellow"/>
        </w:rPr>
        <w:t xml:space="preserve">) </w:t>
      </w:r>
      <w:r w:rsidRPr="000478D4">
        <w:rPr>
          <w:highlight w:val="yellow"/>
        </w:rPr>
        <w:t>Public</w:t>
      </w:r>
      <w:r w:rsidRPr="000478D4">
        <w:rPr>
          <w:szCs w:val="20"/>
          <w:highlight w:val="yellow"/>
        </w:rPr>
        <w:t xml:space="preserve"> Area</w:t>
      </w:r>
      <w:r w:rsidRPr="000478D4">
        <w:rPr>
          <w:highlight w:val="yellow"/>
        </w:rPr>
        <w:t xml:space="preserve"> by April 30</w:t>
      </w:r>
      <w:r w:rsidRPr="000478D4">
        <w:rPr>
          <w:highlight w:val="yellow"/>
          <w:vertAlign w:val="superscript"/>
        </w:rPr>
        <w:t>th</w:t>
      </w:r>
      <w:r w:rsidRPr="000478D4">
        <w:rPr>
          <w:highlight w:val="yellow"/>
        </w:rPr>
        <w:t>.  The appropriate Technical Advisory Committee (TAC) Subcommittee may:</w:t>
      </w:r>
    </w:p>
    <w:p w:rsidR="002F4671" w:rsidRDefault="002F4671" w:rsidP="002F4671">
      <w:pPr>
        <w:pStyle w:val="List"/>
        <w:ind w:firstLine="0"/>
      </w:pPr>
      <w:r>
        <w:t>(a)</w:t>
      </w:r>
      <w:r>
        <w:tab/>
        <w:t xml:space="preserve">Request interim UFE analysis reports; </w:t>
      </w:r>
    </w:p>
    <w:p w:rsidR="002F4671" w:rsidRDefault="002F4671" w:rsidP="002F4671">
      <w:pPr>
        <w:pStyle w:val="List"/>
        <w:ind w:left="1440"/>
      </w:pPr>
      <w:r>
        <w:t>(b)</w:t>
      </w:r>
      <w:r>
        <w:tab/>
        <w:t>Establish a task force for further UFE investigation that may include the establishment of UFE analysis zones.  UFE analysis zones will not be used for Settlement purposes until adopted as UFE Settlement zones.  Before adoption as UFE Settlement zones the following will be considered, at a minimum:</w:t>
      </w:r>
    </w:p>
    <w:p w:rsidR="002F4671" w:rsidRDefault="002F4671" w:rsidP="002F4671">
      <w:pPr>
        <w:pStyle w:val="List2"/>
        <w:ind w:left="1800" w:hanging="360"/>
      </w:pPr>
      <w:r>
        <w:t>(i)</w:t>
      </w:r>
      <w:r>
        <w:tab/>
      </w:r>
      <w:r>
        <w:tab/>
        <w:t>Cost-benefit analysis;</w:t>
      </w:r>
    </w:p>
    <w:p w:rsidR="002F4671" w:rsidRDefault="002F4671" w:rsidP="002F4671">
      <w:pPr>
        <w:pStyle w:val="List2"/>
        <w:ind w:left="1800" w:hanging="360"/>
      </w:pPr>
      <w:r>
        <w:t>(ii)</w:t>
      </w:r>
      <w:r>
        <w:tab/>
      </w:r>
      <w:r>
        <w:tab/>
        <w:t>Installation requirements for Revenue Quality Meters;</w:t>
      </w:r>
    </w:p>
    <w:p w:rsidR="002F4671" w:rsidRDefault="002F4671" w:rsidP="002F4671">
      <w:pPr>
        <w:pStyle w:val="List2"/>
        <w:ind w:left="1800" w:hanging="360"/>
      </w:pPr>
      <w:r>
        <w:t>(iii)</w:t>
      </w:r>
      <w:r>
        <w:tab/>
      </w:r>
      <w:r>
        <w:tab/>
        <w:t>Impact on the Settlement system;</w:t>
      </w:r>
    </w:p>
    <w:p w:rsidR="002F4671" w:rsidRDefault="002F4671" w:rsidP="002F4671">
      <w:pPr>
        <w:pStyle w:val="List2"/>
        <w:ind w:left="1800" w:hanging="360"/>
      </w:pPr>
      <w:r>
        <w:t>(iv)</w:t>
      </w:r>
      <w:r>
        <w:tab/>
      </w:r>
      <w:r>
        <w:tab/>
        <w:t>Impact on Market Participant systems; and</w:t>
      </w:r>
    </w:p>
    <w:p w:rsidR="002F4671" w:rsidRDefault="002F4671" w:rsidP="002F4671">
      <w:pPr>
        <w:pStyle w:val="List2"/>
        <w:ind w:left="1800" w:hanging="360"/>
      </w:pPr>
      <w:r>
        <w:t>(v)</w:t>
      </w:r>
      <w:r>
        <w:tab/>
      </w:r>
      <w:r>
        <w:tab/>
        <w:t>Cost of UFE to Market Participants; and</w:t>
      </w:r>
    </w:p>
    <w:p w:rsidR="002F4671" w:rsidRDefault="002F4671" w:rsidP="002F4671">
      <w:pPr>
        <w:pStyle w:val="List"/>
        <w:ind w:left="1440"/>
      </w:pPr>
      <w:r>
        <w:t>(c)</w:t>
      </w:r>
      <w:r>
        <w:tab/>
        <w:t>Identify factors that are contributing to UFE and work with the appropriate Entities to rectify problems causing UFE.</w:t>
      </w:r>
    </w:p>
    <w:p w:rsidR="002F4671" w:rsidRDefault="002F4671" w:rsidP="002F4671">
      <w:pPr>
        <w:pStyle w:val="BodyText"/>
        <w:ind w:left="720" w:hanging="720"/>
      </w:pPr>
      <w:r>
        <w:t>(2)</w:t>
      </w:r>
      <w:r>
        <w:tab/>
        <w:t xml:space="preserve">ERCOT currently has one UFE zone for Settlement purposes, which encompasses all of ERCOT.  </w:t>
      </w:r>
    </w:p>
    <w:p w:rsidR="00994FA4" w:rsidRDefault="00994FA4"/>
    <w:sectPr w:rsidR="00994F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671"/>
    <w:rsid w:val="000478D4"/>
    <w:rsid w:val="002F4671"/>
    <w:rsid w:val="0099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6AEFC-1DC8-427C-B822-B5F03242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F46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F46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2F4671"/>
    <w:pPr>
      <w:spacing w:after="240" w:line="240" w:lineRule="auto"/>
    </w:pPr>
    <w:rPr>
      <w:rFonts w:ascii="Times New Roman" w:eastAsia="Times New Roman" w:hAnsi="Times New Roman" w:cs="Times New Roman"/>
      <w:sz w:val="24"/>
      <w:szCs w:val="24"/>
    </w:rPr>
  </w:style>
  <w:style w:type="character" w:customStyle="1" w:styleId="BodyTextChar">
    <w:name w:val="Body Text Char"/>
    <w:aliases w:val="Char Char Char Char Char Char Char1,Char Char Char Char Char Char Charh2 Char1,... Char1, Char Char Char Char Char Char Char2, Char Char Char Char Char Char Char Char1,Body Text Char Char Char1,Body Text Char1 Char Char Char1"/>
    <w:basedOn w:val="DefaultParagraphFont"/>
    <w:link w:val="BodyText"/>
    <w:rsid w:val="002F4671"/>
    <w:rPr>
      <w:rFonts w:ascii="Times New Roman" w:eastAsia="Times New Roman" w:hAnsi="Times New Roman" w:cs="Times New Roman"/>
      <w:sz w:val="24"/>
      <w:szCs w:val="24"/>
    </w:rPr>
  </w:style>
  <w:style w:type="paragraph" w:customStyle="1" w:styleId="H2">
    <w:name w:val="H2"/>
    <w:basedOn w:val="Heading2"/>
    <w:next w:val="BodyText"/>
    <w:link w:val="H2Char"/>
    <w:rsid w:val="002F4671"/>
    <w:pPr>
      <w:keepLines w:val="0"/>
      <w:tabs>
        <w:tab w:val="left" w:pos="900"/>
      </w:tabs>
      <w:spacing w:before="240" w:after="240" w:line="240" w:lineRule="auto"/>
      <w:ind w:left="900" w:hanging="900"/>
    </w:pPr>
    <w:rPr>
      <w:rFonts w:ascii="Times New Roman" w:eastAsia="Times New Roman" w:hAnsi="Times New Roman" w:cs="Times New Roman"/>
      <w:b/>
      <w:color w:val="auto"/>
      <w:sz w:val="24"/>
      <w:szCs w:val="20"/>
    </w:rPr>
  </w:style>
  <w:style w:type="character" w:customStyle="1" w:styleId="H2Char">
    <w:name w:val="H2 Char"/>
    <w:link w:val="H2"/>
    <w:rsid w:val="002F4671"/>
    <w:rPr>
      <w:rFonts w:ascii="Times New Roman" w:eastAsia="Times New Roman" w:hAnsi="Times New Roman" w:cs="Times New Roman"/>
      <w:b/>
      <w:sz w:val="24"/>
      <w:szCs w:val="20"/>
    </w:rPr>
  </w:style>
  <w:style w:type="paragraph" w:customStyle="1" w:styleId="H3">
    <w:name w:val="H3"/>
    <w:basedOn w:val="Heading3"/>
    <w:next w:val="BodyText"/>
    <w:link w:val="H3Char"/>
    <w:rsid w:val="002F4671"/>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paragraph" w:styleId="List">
    <w:name w:val="List"/>
    <w:basedOn w:val="Normal"/>
    <w:rsid w:val="002F4671"/>
    <w:pPr>
      <w:spacing w:after="240" w:line="240" w:lineRule="auto"/>
      <w:ind w:left="720" w:hanging="720"/>
    </w:pPr>
    <w:rPr>
      <w:rFonts w:ascii="Times New Roman" w:eastAsia="Times New Roman" w:hAnsi="Times New Roman" w:cs="Times New Roman"/>
      <w:sz w:val="24"/>
      <w:szCs w:val="20"/>
    </w:rPr>
  </w:style>
  <w:style w:type="paragraph" w:styleId="List2">
    <w:name w:val="List 2"/>
    <w:basedOn w:val="Normal"/>
    <w:rsid w:val="002F4671"/>
    <w:pPr>
      <w:spacing w:after="240" w:line="240" w:lineRule="auto"/>
      <w:ind w:left="1440" w:hanging="720"/>
    </w:pPr>
    <w:rPr>
      <w:rFonts w:ascii="Times New Roman" w:eastAsia="Times New Roman" w:hAnsi="Times New Roman" w:cs="Times New Roman"/>
      <w:sz w:val="24"/>
      <w:szCs w:val="20"/>
    </w:rPr>
  </w:style>
  <w:style w:type="character" w:customStyle="1" w:styleId="H3Char">
    <w:name w:val="H3 Char"/>
    <w:link w:val="H3"/>
    <w:rsid w:val="002F4671"/>
    <w:rPr>
      <w:rFonts w:ascii="Times New Roman" w:eastAsia="Times New Roman" w:hAnsi="Times New Roman" w:cs="Times New Roman"/>
      <w:b/>
      <w:bCs/>
      <w:i/>
      <w:sz w:val="24"/>
      <w:szCs w:val="20"/>
    </w:rPr>
  </w:style>
  <w:style w:type="character" w:customStyle="1" w:styleId="Heading2Char">
    <w:name w:val="Heading 2 Char"/>
    <w:basedOn w:val="DefaultParagraphFont"/>
    <w:link w:val="Heading2"/>
    <w:uiPriority w:val="9"/>
    <w:semiHidden/>
    <w:rsid w:val="002F467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F467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Randy</dc:creator>
  <cp:keywords/>
  <dc:description/>
  <cp:lastModifiedBy>Roberts, Randy</cp:lastModifiedBy>
  <cp:revision>1</cp:revision>
  <dcterms:created xsi:type="dcterms:W3CDTF">2020-02-26T17:12:00Z</dcterms:created>
  <dcterms:modified xsi:type="dcterms:W3CDTF">2020-02-26T17:30:00Z</dcterms:modified>
</cp:coreProperties>
</file>