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C9" w:rsidRDefault="00DA18C9"/>
    <w:p w:rsidR="0087007A" w:rsidRDefault="0087007A"/>
    <w:p w:rsidR="0087007A" w:rsidRDefault="0087007A" w:rsidP="0087007A">
      <w:pPr>
        <w:pStyle w:val="Heading1"/>
      </w:pPr>
      <w:r>
        <w:t xml:space="preserve">KTC 13 </w:t>
      </w:r>
      <w:r w:rsidR="00752DAE" w:rsidRPr="00752DAE">
        <w:t>Self-Limiting issues related to Interconnection Requests for Energy Storage Resources</w:t>
      </w:r>
    </w:p>
    <w:p w:rsidR="0087007A" w:rsidRDefault="0087007A" w:rsidP="00621514">
      <w:pPr>
        <w:pStyle w:val="Heading2"/>
      </w:pPr>
      <w:r>
        <w:t xml:space="preserve">KTC 13.1 </w:t>
      </w:r>
      <w:r w:rsidRPr="0087007A">
        <w:t>Assumptions for Self-Limiting Facilities</w:t>
      </w:r>
    </w:p>
    <w:p w:rsidR="0087007A" w:rsidRPr="004E30CF" w:rsidRDefault="0087007A" w:rsidP="004E30C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 xml:space="preserve">The addition of energy storage to an existing generation site that is not intended to increase amount of MW that can be injected at the POI. </w:t>
      </w:r>
      <w:proofErr w:type="spellStart"/>
      <w:r w:rsidRPr="004E30CF">
        <w:rPr>
          <w:rFonts w:ascii="Arial" w:hAnsi="Arial" w:cs="Arial"/>
        </w:rPr>
        <w:t>Pmax</w:t>
      </w:r>
      <w:proofErr w:type="spellEnd"/>
      <w:r w:rsidRPr="004E30CF">
        <w:rPr>
          <w:rFonts w:ascii="Arial" w:hAnsi="Arial" w:cs="Arial"/>
        </w:rPr>
        <w:t xml:space="preserve"> at the POI in the IA does not change. </w:t>
      </w:r>
    </w:p>
    <w:p w:rsidR="0087007A" w:rsidRPr="004E30CF" w:rsidRDefault="0087007A" w:rsidP="004E30C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 xml:space="preserve">A new energy storage capacity co-located with a new generation site with </w:t>
      </w:r>
      <w:proofErr w:type="spellStart"/>
      <w:r w:rsidRPr="004E30CF">
        <w:rPr>
          <w:rFonts w:ascii="Arial" w:hAnsi="Arial" w:cs="Arial"/>
        </w:rPr>
        <w:t>Pmax</w:t>
      </w:r>
      <w:proofErr w:type="spellEnd"/>
      <w:r w:rsidRPr="004E30CF">
        <w:rPr>
          <w:rFonts w:ascii="Arial" w:hAnsi="Arial" w:cs="Arial"/>
        </w:rPr>
        <w:t xml:space="preserve"> in the IA lower than total installed MW capacity behind the POI. (Note that ERCOT does not currently reflect the IA limits in the network model.) </w:t>
      </w:r>
    </w:p>
    <w:p w:rsidR="0087007A" w:rsidRPr="004E30CF" w:rsidRDefault="0087007A" w:rsidP="004E30C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 xml:space="preserve">Installed AC/DC MW capacity behind the POI may exceed inverter rating or the IA, but the power injected into ERCOT grid will always be limited to the </w:t>
      </w:r>
      <w:proofErr w:type="spellStart"/>
      <w:r w:rsidRPr="004E30CF">
        <w:rPr>
          <w:rFonts w:ascii="Arial" w:hAnsi="Arial" w:cs="Arial"/>
        </w:rPr>
        <w:t>Pmax</w:t>
      </w:r>
      <w:proofErr w:type="spellEnd"/>
      <w:r w:rsidRPr="004E30CF">
        <w:rPr>
          <w:rFonts w:ascii="Arial" w:hAnsi="Arial" w:cs="Arial"/>
        </w:rPr>
        <w:t xml:space="preserve"> in the IA.  </w:t>
      </w:r>
    </w:p>
    <w:p w:rsidR="0087007A" w:rsidRPr="004E30CF" w:rsidRDefault="0087007A" w:rsidP="004E30C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>As a part of GINR process, Interconnecting Entity (IE) shall provide all details of the physically-limiting elements (e.g. inverters and GSUs) and/or power plant controller that will enforce the limit. TSP may install additional schemes to ensure adequate protection.</w:t>
      </w:r>
    </w:p>
    <w:p w:rsidR="0087007A" w:rsidRPr="004E30CF" w:rsidRDefault="0087007A" w:rsidP="004E30C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>Self-Limiting concept only applies to Resources behind the same POI.</w:t>
      </w:r>
    </w:p>
    <w:p w:rsidR="0087007A" w:rsidRDefault="0087007A" w:rsidP="00621514">
      <w:pPr>
        <w:pStyle w:val="Heading2"/>
      </w:pPr>
      <w:r>
        <w:t xml:space="preserve">KTC 13.2 </w:t>
      </w:r>
      <w:r w:rsidRPr="0087007A">
        <w:t>Compliance and Monitoring program for Self-Limiting Resources</w:t>
      </w:r>
    </w:p>
    <w:p w:rsidR="0087007A" w:rsidRPr="004E30CF" w:rsidRDefault="00975033" w:rsidP="004E30C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During commissioning, the </w:t>
      </w:r>
      <w:r w:rsidR="0087007A" w:rsidRPr="004E30CF">
        <w:rPr>
          <w:rFonts w:ascii="Arial" w:hAnsi="Arial" w:cs="Arial"/>
        </w:rPr>
        <w:t xml:space="preserve">IE </w:t>
      </w:r>
      <w:r>
        <w:rPr>
          <w:rFonts w:ascii="Arial" w:hAnsi="Arial" w:cs="Arial"/>
        </w:rPr>
        <w:t>will</w:t>
      </w:r>
      <w:r w:rsidRPr="004E30CF">
        <w:rPr>
          <w:rFonts w:ascii="Arial" w:hAnsi="Arial" w:cs="Arial"/>
        </w:rPr>
        <w:t xml:space="preserve"> </w:t>
      </w:r>
      <w:r w:rsidR="0087007A" w:rsidRPr="004E30CF">
        <w:rPr>
          <w:rFonts w:ascii="Arial" w:hAnsi="Arial" w:cs="Arial"/>
        </w:rPr>
        <w:t xml:space="preserve">be required </w:t>
      </w:r>
      <w:r>
        <w:rPr>
          <w:rFonts w:ascii="Arial" w:hAnsi="Arial" w:cs="Arial"/>
        </w:rPr>
        <w:t xml:space="preserve">to </w:t>
      </w:r>
      <w:r w:rsidR="0087007A" w:rsidRPr="004E30CF">
        <w:rPr>
          <w:rFonts w:ascii="Arial" w:hAnsi="Arial" w:cs="Arial"/>
        </w:rPr>
        <w:t xml:space="preserve">demonstrate that they </w:t>
      </w:r>
      <w:r>
        <w:rPr>
          <w:rFonts w:ascii="Arial" w:hAnsi="Arial" w:cs="Arial"/>
        </w:rPr>
        <w:t>have</w:t>
      </w:r>
      <w:r w:rsidR="0087007A" w:rsidRPr="004E30CF">
        <w:rPr>
          <w:rFonts w:ascii="Arial" w:hAnsi="Arial" w:cs="Arial"/>
        </w:rPr>
        <w:t xml:space="preserve"> install</w:t>
      </w:r>
      <w:r>
        <w:rPr>
          <w:rFonts w:ascii="Arial" w:hAnsi="Arial" w:cs="Arial"/>
        </w:rPr>
        <w:t>ed</w:t>
      </w:r>
      <w:r w:rsidR="0087007A" w:rsidRPr="004E30CF">
        <w:rPr>
          <w:rFonts w:ascii="Arial" w:hAnsi="Arial" w:cs="Arial"/>
        </w:rPr>
        <w:t xml:space="preserve"> a generation limiting scheme that ensure</w:t>
      </w:r>
      <w:r>
        <w:rPr>
          <w:rFonts w:ascii="Arial" w:hAnsi="Arial" w:cs="Arial"/>
        </w:rPr>
        <w:t>s</w:t>
      </w:r>
      <w:r w:rsidR="0087007A" w:rsidRPr="004E30CF">
        <w:rPr>
          <w:rFonts w:ascii="Arial" w:hAnsi="Arial" w:cs="Arial"/>
        </w:rPr>
        <w:t xml:space="preserve"> the plant’s output </w:t>
      </w:r>
      <w:r>
        <w:rPr>
          <w:rFonts w:ascii="Arial" w:hAnsi="Arial" w:cs="Arial"/>
        </w:rPr>
        <w:t>will</w:t>
      </w:r>
      <w:r w:rsidRPr="004E30CF">
        <w:rPr>
          <w:rFonts w:ascii="Arial" w:hAnsi="Arial" w:cs="Arial"/>
        </w:rPr>
        <w:t xml:space="preserve"> </w:t>
      </w:r>
      <w:r w:rsidR="0087007A" w:rsidRPr="004E30CF">
        <w:rPr>
          <w:rFonts w:ascii="Arial" w:hAnsi="Arial" w:cs="Arial"/>
        </w:rPr>
        <w:t xml:space="preserve">not exceed their </w:t>
      </w:r>
      <w:proofErr w:type="spellStart"/>
      <w:r w:rsidR="0087007A" w:rsidRPr="004E30CF">
        <w:rPr>
          <w:rFonts w:ascii="Arial" w:hAnsi="Arial" w:cs="Arial"/>
        </w:rPr>
        <w:t>Pmax</w:t>
      </w:r>
      <w:proofErr w:type="spellEnd"/>
    </w:p>
    <w:p w:rsidR="00A7658A" w:rsidRPr="004E30CF" w:rsidRDefault="00A7658A" w:rsidP="004E30C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 xml:space="preserve">Self-Limiting </w:t>
      </w:r>
      <w:proofErr w:type="spellStart"/>
      <w:r w:rsidRPr="004E30CF">
        <w:rPr>
          <w:rFonts w:ascii="Arial" w:hAnsi="Arial" w:cs="Arial"/>
        </w:rPr>
        <w:t>Pmax</w:t>
      </w:r>
      <w:proofErr w:type="spellEnd"/>
      <w:r w:rsidRPr="004E30CF">
        <w:rPr>
          <w:rFonts w:ascii="Arial" w:hAnsi="Arial" w:cs="Arial"/>
        </w:rPr>
        <w:t xml:space="preserve"> of the generation site shall be provided to ERCOT</w:t>
      </w:r>
    </w:p>
    <w:p w:rsidR="0087007A" w:rsidRPr="004E30CF" w:rsidRDefault="0087007A" w:rsidP="004E30C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>After</w:t>
      </w:r>
      <w:r w:rsidR="006448C5">
        <w:rPr>
          <w:rFonts w:ascii="Arial" w:hAnsi="Arial" w:cs="Arial"/>
        </w:rPr>
        <w:t>-</w:t>
      </w:r>
      <w:r w:rsidRPr="004E30CF">
        <w:rPr>
          <w:rFonts w:ascii="Arial" w:hAnsi="Arial" w:cs="Arial"/>
        </w:rPr>
        <w:t>the</w:t>
      </w:r>
      <w:r w:rsidR="006448C5">
        <w:rPr>
          <w:rFonts w:ascii="Arial" w:hAnsi="Arial" w:cs="Arial"/>
        </w:rPr>
        <w:t>-</w:t>
      </w:r>
      <w:r w:rsidRPr="004E30CF">
        <w:rPr>
          <w:rFonts w:ascii="Arial" w:hAnsi="Arial" w:cs="Arial"/>
        </w:rPr>
        <w:t>fact review and reporting and/or “Real-time alarms”</w:t>
      </w:r>
      <w:r w:rsidR="00975033">
        <w:rPr>
          <w:rFonts w:ascii="Arial" w:hAnsi="Arial" w:cs="Arial"/>
        </w:rPr>
        <w:t xml:space="preserve"> will be implemented by ERCOT to monitor generation levels against self-limiting </w:t>
      </w:r>
      <w:proofErr w:type="spellStart"/>
      <w:r w:rsidR="00975033">
        <w:rPr>
          <w:rFonts w:ascii="Arial" w:hAnsi="Arial" w:cs="Arial"/>
        </w:rPr>
        <w:t>Pmax</w:t>
      </w:r>
      <w:proofErr w:type="spellEnd"/>
    </w:p>
    <w:p w:rsidR="0087007A" w:rsidRPr="001E2C71" w:rsidRDefault="0087007A" w:rsidP="001E2C7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E2C71">
        <w:rPr>
          <w:rFonts w:ascii="Arial" w:hAnsi="Arial" w:cs="Arial"/>
        </w:rPr>
        <w:t xml:space="preserve">Self-Limiting generation facility that exceeds </w:t>
      </w:r>
      <w:r w:rsidR="004F4DD2" w:rsidRPr="001E2C71">
        <w:rPr>
          <w:rFonts w:ascii="Arial" w:hAnsi="Arial" w:cs="Arial"/>
        </w:rPr>
        <w:t xml:space="preserve">its </w:t>
      </w:r>
      <w:r w:rsidRPr="001E2C71">
        <w:rPr>
          <w:rFonts w:ascii="Arial" w:hAnsi="Arial" w:cs="Arial"/>
        </w:rPr>
        <w:t xml:space="preserve">IA </w:t>
      </w:r>
      <w:proofErr w:type="spellStart"/>
      <w:r w:rsidRPr="001E2C71">
        <w:rPr>
          <w:rFonts w:ascii="Arial" w:hAnsi="Arial" w:cs="Arial"/>
        </w:rPr>
        <w:t>Pmax</w:t>
      </w:r>
      <w:proofErr w:type="spellEnd"/>
      <w:r w:rsidRPr="001E2C71">
        <w:rPr>
          <w:rFonts w:ascii="Arial" w:hAnsi="Arial" w:cs="Arial"/>
        </w:rPr>
        <w:t xml:space="preserve"> </w:t>
      </w:r>
      <w:r w:rsidR="00975033" w:rsidRPr="001E2C71">
        <w:rPr>
          <w:rFonts w:ascii="Arial" w:hAnsi="Arial" w:cs="Arial"/>
        </w:rPr>
        <w:t xml:space="preserve">(max injection) </w:t>
      </w:r>
      <w:r w:rsidRPr="001E2C71">
        <w:rPr>
          <w:rFonts w:ascii="Arial" w:hAnsi="Arial" w:cs="Arial"/>
        </w:rPr>
        <w:t xml:space="preserve">or </w:t>
      </w:r>
      <w:r w:rsidR="004F4DD2" w:rsidRPr="001E2C71">
        <w:rPr>
          <w:rFonts w:ascii="Arial" w:hAnsi="Arial" w:cs="Arial"/>
        </w:rPr>
        <w:t xml:space="preserve">operates below its </w:t>
      </w:r>
      <w:proofErr w:type="spellStart"/>
      <w:r w:rsidRPr="001E2C71">
        <w:rPr>
          <w:rFonts w:ascii="Arial" w:hAnsi="Arial" w:cs="Arial"/>
        </w:rPr>
        <w:t>Pmin</w:t>
      </w:r>
      <w:proofErr w:type="spellEnd"/>
      <w:r w:rsidRPr="001E2C71">
        <w:rPr>
          <w:rFonts w:ascii="Arial" w:hAnsi="Arial" w:cs="Arial"/>
        </w:rPr>
        <w:t xml:space="preserve"> </w:t>
      </w:r>
      <w:r w:rsidR="00975033" w:rsidRPr="001E2C71">
        <w:rPr>
          <w:rFonts w:ascii="Arial" w:hAnsi="Arial" w:cs="Arial"/>
        </w:rPr>
        <w:t xml:space="preserve">(max withdrawal) </w:t>
      </w:r>
      <w:r w:rsidRPr="001E2C71">
        <w:rPr>
          <w:rFonts w:ascii="Arial" w:hAnsi="Arial" w:cs="Arial"/>
        </w:rPr>
        <w:t>shall have to go through the interconnection process</w:t>
      </w:r>
      <w:r w:rsidR="004F4DD2" w:rsidRPr="001E2C71">
        <w:rPr>
          <w:rFonts w:ascii="Arial" w:hAnsi="Arial" w:cs="Arial"/>
        </w:rPr>
        <w:t xml:space="preserve"> for its total installed MW capacity</w:t>
      </w:r>
      <w:r w:rsidRPr="001E2C71">
        <w:rPr>
          <w:rFonts w:ascii="Arial" w:hAnsi="Arial" w:cs="Arial"/>
        </w:rPr>
        <w:t xml:space="preserve">. </w:t>
      </w:r>
    </w:p>
    <w:p w:rsidR="0087007A" w:rsidRDefault="0087007A" w:rsidP="00621514">
      <w:pPr>
        <w:pStyle w:val="Heading2"/>
      </w:pPr>
      <w:r>
        <w:t xml:space="preserve">KTC 13.3 </w:t>
      </w:r>
      <w:r w:rsidRPr="0087007A">
        <w:t>Real-Time Telemetry and COP requirements</w:t>
      </w:r>
    </w:p>
    <w:p w:rsidR="0087007A" w:rsidRPr="004E30CF" w:rsidRDefault="0087007A" w:rsidP="004E30C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 xml:space="preserve">QSEs should be responsible for limiting their combined COP HSL, Telemetered HSL, and total generation into ERCOT grid to not exceed their IA </w:t>
      </w:r>
      <w:proofErr w:type="spellStart"/>
      <w:r w:rsidRPr="004E30CF">
        <w:rPr>
          <w:rFonts w:ascii="Arial" w:hAnsi="Arial" w:cs="Arial"/>
        </w:rPr>
        <w:t>Pmax</w:t>
      </w:r>
      <w:proofErr w:type="spellEnd"/>
      <w:r w:rsidR="004F4DD2">
        <w:rPr>
          <w:rFonts w:ascii="Arial" w:hAnsi="Arial" w:cs="Arial"/>
        </w:rPr>
        <w:t xml:space="preserve"> or not to operate below their </w:t>
      </w:r>
      <w:proofErr w:type="spellStart"/>
      <w:r w:rsidR="004F4DD2">
        <w:rPr>
          <w:rFonts w:ascii="Arial" w:hAnsi="Arial" w:cs="Arial"/>
        </w:rPr>
        <w:t>Pmin</w:t>
      </w:r>
      <w:proofErr w:type="spellEnd"/>
    </w:p>
    <w:p w:rsidR="0087007A" w:rsidRPr="004E30CF" w:rsidRDefault="009B5452" w:rsidP="004E30C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>QSEs are responsible for bringing additional unit</w:t>
      </w:r>
      <w:r w:rsidR="004F4DD2">
        <w:rPr>
          <w:rFonts w:ascii="Arial" w:hAnsi="Arial" w:cs="Arial"/>
        </w:rPr>
        <w:t>(s)</w:t>
      </w:r>
      <w:r w:rsidRPr="004E30CF">
        <w:rPr>
          <w:rFonts w:ascii="Arial" w:hAnsi="Arial" w:cs="Arial"/>
        </w:rPr>
        <w:t xml:space="preserve"> online to provide VSS if </w:t>
      </w:r>
      <w:r w:rsidR="006448C5">
        <w:rPr>
          <w:rFonts w:ascii="Arial" w:hAnsi="Arial" w:cs="Arial"/>
        </w:rPr>
        <w:t xml:space="preserve">the </w:t>
      </w:r>
      <w:r w:rsidRPr="004E30CF">
        <w:rPr>
          <w:rFonts w:ascii="Arial" w:hAnsi="Arial" w:cs="Arial"/>
        </w:rPr>
        <w:t xml:space="preserve">Energy Storage System (ESS) alone </w:t>
      </w:r>
      <w:r w:rsidR="005438B4">
        <w:rPr>
          <w:rFonts w:ascii="Arial" w:hAnsi="Arial" w:cs="Arial"/>
        </w:rPr>
        <w:t xml:space="preserve">is </w:t>
      </w:r>
      <w:r w:rsidRPr="004E30CF">
        <w:rPr>
          <w:rFonts w:ascii="Arial" w:hAnsi="Arial" w:cs="Arial"/>
        </w:rPr>
        <w:t>not capable of meeting</w:t>
      </w:r>
      <w:r w:rsidR="004F4DD2">
        <w:rPr>
          <w:rFonts w:ascii="Arial" w:hAnsi="Arial" w:cs="Arial"/>
        </w:rPr>
        <w:t xml:space="preserve"> </w:t>
      </w:r>
      <w:r w:rsidR="005438B4">
        <w:rPr>
          <w:rFonts w:ascii="Arial" w:hAnsi="Arial" w:cs="Arial"/>
        </w:rPr>
        <w:t xml:space="preserve">its </w:t>
      </w:r>
      <w:r w:rsidR="004F4DD2">
        <w:rPr>
          <w:rFonts w:ascii="Arial" w:hAnsi="Arial" w:cs="Arial"/>
        </w:rPr>
        <w:t xml:space="preserve">reactive power </w:t>
      </w:r>
      <w:bookmarkStart w:id="0" w:name="_GoBack"/>
      <w:bookmarkEnd w:id="0"/>
      <w:r w:rsidR="004F4DD2">
        <w:rPr>
          <w:rFonts w:ascii="Arial" w:hAnsi="Arial" w:cs="Arial"/>
        </w:rPr>
        <w:t>requirement at the POI (</w:t>
      </w:r>
      <w:r w:rsidRPr="004E30CF">
        <w:rPr>
          <w:rFonts w:ascii="Arial" w:hAnsi="Arial" w:cs="Arial"/>
        </w:rPr>
        <w:t>lead</w:t>
      </w:r>
      <w:r w:rsidR="004F4DD2">
        <w:rPr>
          <w:rFonts w:ascii="Arial" w:hAnsi="Arial" w:cs="Arial"/>
        </w:rPr>
        <w:t>ing/</w:t>
      </w:r>
      <w:r w:rsidRPr="004E30CF">
        <w:rPr>
          <w:rFonts w:ascii="Arial" w:hAnsi="Arial" w:cs="Arial"/>
        </w:rPr>
        <w:t xml:space="preserve"> lagging power factor of 0.95</w:t>
      </w:r>
      <w:r w:rsidR="004F4DD2">
        <w:rPr>
          <w:rFonts w:ascii="Arial" w:hAnsi="Arial" w:cs="Arial"/>
        </w:rPr>
        <w:t>)</w:t>
      </w:r>
      <w:r w:rsidRPr="004E30CF">
        <w:rPr>
          <w:rFonts w:ascii="Arial" w:hAnsi="Arial" w:cs="Arial"/>
        </w:rPr>
        <w:t xml:space="preserve">. </w:t>
      </w:r>
    </w:p>
    <w:p w:rsidR="0087007A" w:rsidRPr="0087007A" w:rsidRDefault="0087007A" w:rsidP="0087007A"/>
    <w:p w:rsidR="0087007A" w:rsidRDefault="0087007A" w:rsidP="00621514">
      <w:pPr>
        <w:pStyle w:val="Heading2"/>
      </w:pPr>
      <w:r>
        <w:t xml:space="preserve">KTC 13.4 </w:t>
      </w:r>
      <w:r w:rsidRPr="0087007A">
        <w:t xml:space="preserve">GINR study </w:t>
      </w:r>
      <w:proofErr w:type="spellStart"/>
      <w:r w:rsidRPr="0087007A">
        <w:t>P</w:t>
      </w:r>
      <w:r>
        <w:t>m</w:t>
      </w:r>
      <w:r w:rsidRPr="0087007A">
        <w:t>ax</w:t>
      </w:r>
      <w:proofErr w:type="spellEnd"/>
      <w:r w:rsidRPr="0087007A">
        <w:t xml:space="preserve"> for DC Coupled Resource</w:t>
      </w:r>
    </w:p>
    <w:p w:rsidR="0087007A" w:rsidRDefault="0087007A" w:rsidP="0087007A"/>
    <w:p w:rsidR="009B5452" w:rsidRPr="004E30CF" w:rsidRDefault="009B5452" w:rsidP="004E30C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lastRenderedPageBreak/>
        <w:t xml:space="preserve">Interconnecting Entity (IE) wants to add new DC-Coupled Resource into ERCOT, by installing 250 MW of PV and 200 MW of Storage connected to ERCOT grid using shared inverters with the total rating of 250 MW </w:t>
      </w:r>
    </w:p>
    <w:p w:rsidR="009B5452" w:rsidRPr="004E30CF" w:rsidRDefault="009B5452" w:rsidP="006B6A7E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>Inverter rating will ensure 250 MW will be the maximum this facility can generate into ERCOT grid</w:t>
      </w:r>
    </w:p>
    <w:p w:rsidR="009B5452" w:rsidRPr="004E30CF" w:rsidRDefault="009B5452" w:rsidP="006B6A7E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 xml:space="preserve">Under today’s rules, GINR process requires registration and studies for this facility at 450 MW </w:t>
      </w:r>
      <w:proofErr w:type="spellStart"/>
      <w:r w:rsidRPr="004E30CF">
        <w:rPr>
          <w:rFonts w:ascii="Arial" w:hAnsi="Arial" w:cs="Arial"/>
        </w:rPr>
        <w:t>Pmax</w:t>
      </w:r>
      <w:proofErr w:type="spellEnd"/>
      <w:r w:rsidRPr="004E30CF">
        <w:rPr>
          <w:rFonts w:ascii="Arial" w:hAnsi="Arial" w:cs="Arial"/>
        </w:rPr>
        <w:t xml:space="preserve"> </w:t>
      </w:r>
    </w:p>
    <w:p w:rsidR="009B5452" w:rsidRPr="004E30CF" w:rsidRDefault="006B6A7E" w:rsidP="004E30C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Interconnecting Entity </w:t>
      </w:r>
      <w:r w:rsidR="009B5452" w:rsidRPr="004E30CF">
        <w:rPr>
          <w:rFonts w:ascii="Arial" w:hAnsi="Arial" w:cs="Arial"/>
        </w:rPr>
        <w:t xml:space="preserve">should be able to register this facility at 250 MW </w:t>
      </w:r>
      <w:proofErr w:type="spellStart"/>
      <w:r w:rsidR="009B5452" w:rsidRPr="004E30CF">
        <w:rPr>
          <w:rFonts w:ascii="Arial" w:hAnsi="Arial" w:cs="Arial"/>
        </w:rPr>
        <w:t>Pmax</w:t>
      </w:r>
      <w:proofErr w:type="spellEnd"/>
      <w:r w:rsidR="009B5452" w:rsidRPr="004E30CF">
        <w:rPr>
          <w:rFonts w:ascii="Arial" w:hAnsi="Arial" w:cs="Arial"/>
        </w:rPr>
        <w:t xml:space="preserve"> and the GINR studies should be conducted at 250 MW. </w:t>
      </w:r>
    </w:p>
    <w:p w:rsidR="009B5452" w:rsidRPr="004E30CF" w:rsidRDefault="009B5452" w:rsidP="004E30C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 xml:space="preserve">Reactive obligations should be based on 250 MW </w:t>
      </w:r>
      <w:proofErr w:type="spellStart"/>
      <w:r w:rsidRPr="004E30CF">
        <w:rPr>
          <w:rFonts w:ascii="Arial" w:hAnsi="Arial" w:cs="Arial"/>
        </w:rPr>
        <w:t>Pmax</w:t>
      </w:r>
      <w:proofErr w:type="spellEnd"/>
    </w:p>
    <w:p w:rsidR="0087007A" w:rsidRDefault="0087007A" w:rsidP="00621514">
      <w:pPr>
        <w:pStyle w:val="Heading2"/>
      </w:pPr>
      <w:r>
        <w:t xml:space="preserve">KTC 13.5 </w:t>
      </w:r>
      <w:r w:rsidRPr="0087007A">
        <w:t>Resource Adequacy Reporting</w:t>
      </w:r>
    </w:p>
    <w:p w:rsidR="00D05B07" w:rsidRPr="004E30CF" w:rsidRDefault="00D05B07" w:rsidP="004E30C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 xml:space="preserve">Resource Adequacy reporting should consider generation site’s self-limiting </w:t>
      </w:r>
      <w:proofErr w:type="spellStart"/>
      <w:r w:rsidRPr="004E30CF">
        <w:rPr>
          <w:rFonts w:ascii="Arial" w:hAnsi="Arial" w:cs="Arial"/>
        </w:rPr>
        <w:t>Pmax</w:t>
      </w:r>
      <w:proofErr w:type="spellEnd"/>
      <w:r w:rsidRPr="004E30CF">
        <w:rPr>
          <w:rFonts w:ascii="Arial" w:hAnsi="Arial" w:cs="Arial"/>
        </w:rPr>
        <w:t xml:space="preserve">. </w:t>
      </w:r>
    </w:p>
    <w:p w:rsidR="00A7658A" w:rsidRPr="004E30CF" w:rsidRDefault="00D05B07" w:rsidP="004E30C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>QS</w:t>
      </w:r>
      <w:r w:rsidR="00A7658A" w:rsidRPr="004E30CF">
        <w:rPr>
          <w:rFonts w:ascii="Arial" w:hAnsi="Arial" w:cs="Arial"/>
        </w:rPr>
        <w:t>E shall provide ERCOT generation site</w:t>
      </w:r>
      <w:r w:rsidRPr="004E30CF">
        <w:rPr>
          <w:rFonts w:ascii="Arial" w:hAnsi="Arial" w:cs="Arial"/>
        </w:rPr>
        <w:t>’s</w:t>
      </w:r>
      <w:r w:rsidR="00A7658A" w:rsidRPr="004E30CF">
        <w:rPr>
          <w:rFonts w:ascii="Arial" w:hAnsi="Arial" w:cs="Arial"/>
        </w:rPr>
        <w:t xml:space="preserve"> self-limited</w:t>
      </w:r>
      <w:r w:rsidR="004E30CF" w:rsidRPr="004E30CF">
        <w:rPr>
          <w:rFonts w:ascii="Arial" w:hAnsi="Arial" w:cs="Arial"/>
        </w:rPr>
        <w:t xml:space="preserve"> </w:t>
      </w:r>
      <w:proofErr w:type="spellStart"/>
      <w:r w:rsidR="004E30CF" w:rsidRPr="004E30CF">
        <w:rPr>
          <w:rFonts w:ascii="Arial" w:hAnsi="Arial" w:cs="Arial"/>
        </w:rPr>
        <w:t>Pmax</w:t>
      </w:r>
      <w:proofErr w:type="spellEnd"/>
      <w:r w:rsidR="004E30CF" w:rsidRPr="004E30CF">
        <w:rPr>
          <w:rFonts w:ascii="Arial" w:hAnsi="Arial" w:cs="Arial"/>
        </w:rPr>
        <w:t xml:space="preserve">. </w:t>
      </w:r>
    </w:p>
    <w:p w:rsidR="004E30CF" w:rsidRPr="004E30CF" w:rsidRDefault="004E30CF" w:rsidP="004E30C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E30CF">
        <w:rPr>
          <w:rFonts w:ascii="Arial" w:hAnsi="Arial" w:cs="Arial"/>
        </w:rPr>
        <w:t>ERCOT together with the Supply Analysis Working Group (SAWG) will develop a methodology to account for self-limiting Resource or generation site in resource adequacy reports</w:t>
      </w:r>
    </w:p>
    <w:p w:rsidR="00A7658A" w:rsidRPr="00A7658A" w:rsidRDefault="00A7658A" w:rsidP="00A7658A"/>
    <w:p w:rsidR="00A85454" w:rsidRDefault="00A8545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87007A" w:rsidRDefault="0087007A" w:rsidP="00621514">
      <w:pPr>
        <w:pStyle w:val="Heading2"/>
        <w:rPr>
          <w:b/>
        </w:rPr>
      </w:pPr>
      <w:r>
        <w:lastRenderedPageBreak/>
        <w:t xml:space="preserve">KTC 13.6 </w:t>
      </w:r>
      <w:r w:rsidRPr="00556402">
        <w:rPr>
          <w:b/>
        </w:rPr>
        <w:t>GINR Process</w:t>
      </w:r>
      <w:r w:rsidRPr="0087007A">
        <w:t>- Adding battery to existing PV/WGR site</w:t>
      </w:r>
      <w:r w:rsidR="00C20F41">
        <w:t xml:space="preserve"> </w:t>
      </w:r>
      <w:r w:rsidRPr="0087007A">
        <w:t>and sharing the existing inverter (DC-Coupled)</w:t>
      </w:r>
      <w:r w:rsidR="00C20F41" w:rsidRPr="00C20F41">
        <w:t xml:space="preserve"> </w:t>
      </w:r>
      <w:r w:rsidR="00C20F41">
        <w:t>(Column C)</w:t>
      </w:r>
      <w:r w:rsidR="00C20F41" w:rsidRPr="0087007A">
        <w:t xml:space="preserve"> </w:t>
      </w:r>
      <w:r w:rsidRPr="0087007A">
        <w:t xml:space="preserve">- </w:t>
      </w:r>
      <w:r w:rsidRPr="00556402">
        <w:rPr>
          <w:b/>
        </w:rPr>
        <w:t>No Grid Charging</w:t>
      </w:r>
    </w:p>
    <w:p w:rsidR="00A02293" w:rsidRDefault="00DB5A49" w:rsidP="001E2C71">
      <w:r w:rsidRPr="00DB5A49">
        <w:rPr>
          <w:noProof/>
        </w:rPr>
        <w:drawing>
          <wp:inline distT="0" distB="0" distL="0" distR="0">
            <wp:extent cx="5943600" cy="380921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293" w:rsidRPr="00A02293" w:rsidRDefault="00A02293" w:rsidP="001E2C71"/>
    <w:p w:rsidR="00A85454" w:rsidRDefault="00A8545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87007A" w:rsidRDefault="0087007A" w:rsidP="00621514">
      <w:pPr>
        <w:pStyle w:val="Heading2"/>
        <w:rPr>
          <w:b/>
        </w:rPr>
      </w:pPr>
      <w:r>
        <w:lastRenderedPageBreak/>
        <w:t xml:space="preserve">KTC 13.7 </w:t>
      </w:r>
      <w:r w:rsidRPr="00556402">
        <w:rPr>
          <w:b/>
        </w:rPr>
        <w:t>GINR Process</w:t>
      </w:r>
      <w:r w:rsidRPr="0087007A">
        <w:t>- Adding battery to existing PV/WGR site and sharing the existing inverter (DC-Coupled</w:t>
      </w:r>
      <w:proofErr w:type="gramStart"/>
      <w:r w:rsidRPr="0087007A">
        <w:t>)</w:t>
      </w:r>
      <w:r w:rsidR="00C20F41">
        <w:t>(</w:t>
      </w:r>
      <w:proofErr w:type="gramEnd"/>
      <w:r w:rsidR="00C20F41">
        <w:t>Column B)</w:t>
      </w:r>
      <w:r w:rsidRPr="0087007A">
        <w:t xml:space="preserve"> - </w:t>
      </w:r>
      <w:r w:rsidRPr="00556402">
        <w:rPr>
          <w:b/>
        </w:rPr>
        <w:t>With Grid Charging</w:t>
      </w:r>
    </w:p>
    <w:p w:rsidR="00A02293" w:rsidRDefault="00B76FC6" w:rsidP="001E2C71">
      <w:r>
        <w:object w:dxaOrig="15346" w:dyaOrig="9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03.75pt" o:ole="">
            <v:imagedata r:id="rId8" o:title=""/>
          </v:shape>
          <o:OLEObject Type="Embed" ProgID="Visio.Drawing.15" ShapeID="_x0000_i1025" DrawAspect="Content" ObjectID="_1643786062" r:id="rId9"/>
        </w:object>
      </w:r>
    </w:p>
    <w:p w:rsidR="00A02293" w:rsidRPr="00A02293" w:rsidRDefault="00A02293" w:rsidP="001E2C71"/>
    <w:p w:rsidR="00A85454" w:rsidRDefault="00A8545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87007A" w:rsidRDefault="0087007A" w:rsidP="00621514">
      <w:pPr>
        <w:pStyle w:val="Heading2"/>
      </w:pPr>
      <w:r>
        <w:lastRenderedPageBreak/>
        <w:t xml:space="preserve">KTC 13.8 </w:t>
      </w:r>
      <w:r w:rsidRPr="00556402">
        <w:rPr>
          <w:b/>
        </w:rPr>
        <w:t>GINR Process</w:t>
      </w:r>
      <w:r w:rsidRPr="0087007A">
        <w:t xml:space="preserve">- Adding battery to existing </w:t>
      </w:r>
      <w:r w:rsidR="007059B4">
        <w:t>thermal</w:t>
      </w:r>
      <w:r w:rsidRPr="0087007A">
        <w:t xml:space="preserve"> site (AC Coupled)</w:t>
      </w:r>
      <w:r w:rsidR="00C20F41">
        <w:t xml:space="preserve"> (Column A)</w:t>
      </w:r>
    </w:p>
    <w:p w:rsidR="0087007A" w:rsidRDefault="0087007A" w:rsidP="00621514">
      <w:pPr>
        <w:pStyle w:val="Heading2"/>
      </w:pPr>
      <w:r>
        <w:t xml:space="preserve">KTC 13.9 </w:t>
      </w:r>
      <w:r w:rsidRPr="00556402">
        <w:rPr>
          <w:b/>
        </w:rPr>
        <w:t>GINR Process</w:t>
      </w:r>
      <w:r w:rsidRPr="0087007A">
        <w:t>- Adding battery to existing PV/WGR site (AC Coupled</w:t>
      </w:r>
      <w:proofErr w:type="gramStart"/>
      <w:r w:rsidRPr="0087007A">
        <w:t>)</w:t>
      </w:r>
      <w:r w:rsidR="00C20F41">
        <w:t>(</w:t>
      </w:r>
      <w:proofErr w:type="gramEnd"/>
      <w:r w:rsidR="00C20F41">
        <w:t>Column A)</w:t>
      </w:r>
    </w:p>
    <w:p w:rsidR="00A02293" w:rsidRDefault="000131EF" w:rsidP="001E2C71">
      <w:r>
        <w:object w:dxaOrig="15346" w:dyaOrig="9916">
          <v:shape id="_x0000_i1026" type="#_x0000_t75" style="width:467.25pt;height:302.25pt" o:ole="">
            <v:imagedata r:id="rId10" o:title=""/>
          </v:shape>
          <o:OLEObject Type="Embed" ProgID="Visio.Drawing.15" ShapeID="_x0000_i1026" DrawAspect="Content" ObjectID="_1643786063" r:id="rId11"/>
        </w:object>
      </w:r>
    </w:p>
    <w:p w:rsidR="00A02293" w:rsidRPr="00A02293" w:rsidRDefault="00A02293" w:rsidP="001E2C71"/>
    <w:p w:rsidR="00A85454" w:rsidRDefault="00A8545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87007A" w:rsidRDefault="0087007A" w:rsidP="00621514">
      <w:pPr>
        <w:pStyle w:val="Heading2"/>
      </w:pPr>
      <w:r>
        <w:lastRenderedPageBreak/>
        <w:t xml:space="preserve">KTC 13.10 </w:t>
      </w:r>
      <w:r w:rsidRPr="00556402">
        <w:rPr>
          <w:b/>
        </w:rPr>
        <w:t>GINR Process</w:t>
      </w:r>
      <w:r w:rsidRPr="0087007A">
        <w:t xml:space="preserve"> - New </w:t>
      </w:r>
      <w:r w:rsidRPr="00556402">
        <w:rPr>
          <w:b/>
        </w:rPr>
        <w:t xml:space="preserve">DC Coupled </w:t>
      </w:r>
      <w:r w:rsidRPr="0087007A">
        <w:t>Reso</w:t>
      </w:r>
      <w:r>
        <w:t>u</w:t>
      </w:r>
      <w:r w:rsidRPr="0087007A">
        <w:t>rce</w:t>
      </w:r>
      <w:r w:rsidR="00C20F41">
        <w:t xml:space="preserve"> (Column G)</w:t>
      </w:r>
    </w:p>
    <w:p w:rsidR="00A02293" w:rsidRDefault="00A85454" w:rsidP="001E2C71">
      <w:r w:rsidRPr="00A85454">
        <w:rPr>
          <w:noProof/>
        </w:rPr>
        <w:drawing>
          <wp:inline distT="0" distB="0" distL="0" distR="0">
            <wp:extent cx="5943600" cy="37385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293" w:rsidRPr="00A02293" w:rsidRDefault="00A02293" w:rsidP="001E2C71"/>
    <w:p w:rsidR="00A85454" w:rsidRDefault="00A8545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87007A" w:rsidRDefault="0087007A" w:rsidP="00621514">
      <w:pPr>
        <w:pStyle w:val="Heading2"/>
      </w:pPr>
      <w:r>
        <w:lastRenderedPageBreak/>
        <w:t xml:space="preserve">KTC 13.11 </w:t>
      </w:r>
      <w:r w:rsidRPr="00556402">
        <w:rPr>
          <w:b/>
        </w:rPr>
        <w:t>GINR Process</w:t>
      </w:r>
      <w:r w:rsidRPr="0087007A">
        <w:t xml:space="preserve"> - New </w:t>
      </w:r>
      <w:r w:rsidRPr="00556402">
        <w:rPr>
          <w:b/>
        </w:rPr>
        <w:t>AC Coupled</w:t>
      </w:r>
      <w:r w:rsidRPr="0087007A">
        <w:t xml:space="preserve"> </w:t>
      </w:r>
      <w:r w:rsidR="00D05B07" w:rsidRPr="0087007A">
        <w:t>Resource</w:t>
      </w:r>
      <w:r w:rsidR="00C20F41">
        <w:t xml:space="preserve"> (Column H)</w:t>
      </w:r>
    </w:p>
    <w:p w:rsidR="0087007A" w:rsidRPr="0087007A" w:rsidRDefault="00A85454" w:rsidP="00621514">
      <w:pPr>
        <w:pStyle w:val="Heading2"/>
      </w:pPr>
      <w:r w:rsidRPr="00A85454">
        <w:rPr>
          <w:noProof/>
        </w:rPr>
        <w:drawing>
          <wp:inline distT="0" distB="0" distL="0" distR="0">
            <wp:extent cx="5943600" cy="387852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7A" w:rsidRPr="0087007A" w:rsidRDefault="0087007A" w:rsidP="0087007A"/>
    <w:p w:rsidR="0087007A" w:rsidRPr="0087007A" w:rsidRDefault="0087007A" w:rsidP="0087007A"/>
    <w:p w:rsidR="0087007A" w:rsidRPr="0087007A" w:rsidRDefault="0087007A" w:rsidP="0087007A"/>
    <w:sectPr w:rsidR="0087007A" w:rsidRPr="0087007A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26E" w:rsidRDefault="0035126E" w:rsidP="00042891">
      <w:pPr>
        <w:spacing w:after="0" w:line="240" w:lineRule="auto"/>
      </w:pPr>
      <w:r>
        <w:separator/>
      </w:r>
    </w:p>
  </w:endnote>
  <w:endnote w:type="continuationSeparator" w:id="0">
    <w:p w:rsidR="0035126E" w:rsidRDefault="0035126E" w:rsidP="0004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562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2891" w:rsidRDefault="000428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9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2891" w:rsidRDefault="00042891">
    <w:pPr>
      <w:pStyle w:val="Footer"/>
    </w:pPr>
    <w:r>
      <w:t>2</w:t>
    </w:r>
    <w:r w:rsidR="0094392F">
      <w:t>-25-20 BESTF Meeting (as of 2-21</w:t>
    </w:r>
    <w:r>
      <w:t xml:space="preserve">-20 </w:t>
    </w:r>
    <w:r w:rsidR="00701578">
      <w:t>1543)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26E" w:rsidRDefault="0035126E" w:rsidP="00042891">
      <w:pPr>
        <w:spacing w:after="0" w:line="240" w:lineRule="auto"/>
      </w:pPr>
      <w:r>
        <w:separator/>
      </w:r>
    </w:p>
  </w:footnote>
  <w:footnote w:type="continuationSeparator" w:id="0">
    <w:p w:rsidR="0035126E" w:rsidRDefault="0035126E" w:rsidP="00042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27172"/>
    <w:multiLevelType w:val="hybridMultilevel"/>
    <w:tmpl w:val="E6606C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DC10CD"/>
    <w:multiLevelType w:val="hybridMultilevel"/>
    <w:tmpl w:val="E6606C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CC01F3"/>
    <w:multiLevelType w:val="hybridMultilevel"/>
    <w:tmpl w:val="B764F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3707A"/>
    <w:multiLevelType w:val="hybridMultilevel"/>
    <w:tmpl w:val="81FAE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22259"/>
    <w:multiLevelType w:val="hybridMultilevel"/>
    <w:tmpl w:val="E6606C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5B1BC0"/>
    <w:multiLevelType w:val="hybridMultilevel"/>
    <w:tmpl w:val="B764F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C1740"/>
    <w:multiLevelType w:val="hybridMultilevel"/>
    <w:tmpl w:val="54885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D70D2"/>
    <w:multiLevelType w:val="hybridMultilevel"/>
    <w:tmpl w:val="CE007F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2D39F4"/>
    <w:multiLevelType w:val="hybridMultilevel"/>
    <w:tmpl w:val="E6606C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4F7FAA"/>
    <w:multiLevelType w:val="hybridMultilevel"/>
    <w:tmpl w:val="BC8CD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6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7A"/>
    <w:rsid w:val="000131EF"/>
    <w:rsid w:val="00042891"/>
    <w:rsid w:val="001E2C71"/>
    <w:rsid w:val="0035126E"/>
    <w:rsid w:val="0048736D"/>
    <w:rsid w:val="004E30CF"/>
    <w:rsid w:val="004E3AB2"/>
    <w:rsid w:val="004F4DD2"/>
    <w:rsid w:val="005269B9"/>
    <w:rsid w:val="005438B4"/>
    <w:rsid w:val="00556402"/>
    <w:rsid w:val="00621514"/>
    <w:rsid w:val="006448C5"/>
    <w:rsid w:val="006B6A7E"/>
    <w:rsid w:val="006D58EF"/>
    <w:rsid w:val="00701578"/>
    <w:rsid w:val="007059B4"/>
    <w:rsid w:val="00722D37"/>
    <w:rsid w:val="00752DAE"/>
    <w:rsid w:val="008029FA"/>
    <w:rsid w:val="0087007A"/>
    <w:rsid w:val="0094392F"/>
    <w:rsid w:val="00975033"/>
    <w:rsid w:val="009B5452"/>
    <w:rsid w:val="00A02293"/>
    <w:rsid w:val="00A7658A"/>
    <w:rsid w:val="00A837B6"/>
    <w:rsid w:val="00A85454"/>
    <w:rsid w:val="00AD5360"/>
    <w:rsid w:val="00B76FC6"/>
    <w:rsid w:val="00BB6D95"/>
    <w:rsid w:val="00BD1EE5"/>
    <w:rsid w:val="00C20F41"/>
    <w:rsid w:val="00D05B07"/>
    <w:rsid w:val="00DA18C9"/>
    <w:rsid w:val="00DB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76ED42BB-A303-47BA-92A5-6FA0D04C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5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0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00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215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F4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891"/>
  </w:style>
  <w:style w:type="paragraph" w:styleId="Footer">
    <w:name w:val="footer"/>
    <w:basedOn w:val="Normal"/>
    <w:link w:val="FooterChar"/>
    <w:uiPriority w:val="99"/>
    <w:unhideWhenUsed/>
    <w:rsid w:val="00042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6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7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9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4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3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263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898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6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3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9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2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Drawing2.vsdx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1.vsd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Sandip</dc:creator>
  <cp:keywords/>
  <dc:description/>
  <cp:lastModifiedBy>Teixeira, Jay</cp:lastModifiedBy>
  <cp:revision>3</cp:revision>
  <cp:lastPrinted>2020-02-21T14:51:00Z</cp:lastPrinted>
  <dcterms:created xsi:type="dcterms:W3CDTF">2020-02-21T16:25:00Z</dcterms:created>
  <dcterms:modified xsi:type="dcterms:W3CDTF">2020-02-21T16:28:00Z</dcterms:modified>
</cp:coreProperties>
</file>