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AC" w:rsidRDefault="008D2833" w:rsidP="008D2833">
      <w:pPr>
        <w:pStyle w:val="Heading1"/>
      </w:pPr>
      <w:r>
        <w:t>KTC -11.11 RUC Capacity Short Charges for DC</w:t>
      </w:r>
      <w:r w:rsidR="006C4D26">
        <w:t>-</w:t>
      </w:r>
      <w:r>
        <w:t xml:space="preserve">Coupled Resources </w:t>
      </w:r>
    </w:p>
    <w:p w:rsidR="008D2833" w:rsidRDefault="008D2833"/>
    <w:p w:rsidR="00643904" w:rsidRDefault="00643904">
      <w:r>
        <w:t>Two options to consider:</w:t>
      </w:r>
    </w:p>
    <w:p w:rsidR="00643904" w:rsidRPr="00643904" w:rsidRDefault="00643904">
      <w:pPr>
        <w:rPr>
          <w:u w:val="single"/>
        </w:rPr>
      </w:pPr>
      <w:r w:rsidRPr="00643904">
        <w:rPr>
          <w:u w:val="single"/>
        </w:rPr>
        <w:t>Option 1:</w:t>
      </w:r>
    </w:p>
    <w:p w:rsidR="008D2833" w:rsidRDefault="008D2833">
      <w:r>
        <w:t>ERCOT Proposes RUC capacity short charges for DC</w:t>
      </w:r>
      <w:r w:rsidR="006C4D26">
        <w:t>-</w:t>
      </w:r>
      <w:r>
        <w:t xml:space="preserve">Coupled Resources be based on their COP similar to an ESR. </w:t>
      </w:r>
    </w:p>
    <w:p w:rsidR="008D2833" w:rsidRDefault="008D2833" w:rsidP="00643904">
      <w:pPr>
        <w:pStyle w:val="ListParagraph"/>
        <w:numPr>
          <w:ilvl w:val="0"/>
          <w:numId w:val="5"/>
        </w:numPr>
      </w:pPr>
      <w:r>
        <w:t xml:space="preserve">Today </w:t>
      </w:r>
      <w:r w:rsidR="00974766">
        <w:t>the c</w:t>
      </w:r>
      <w:r w:rsidRPr="008D2833">
        <w:t xml:space="preserve">apacity counted for </w:t>
      </w:r>
      <w:r w:rsidR="00974766">
        <w:t>a PVGR Resource</w:t>
      </w:r>
      <w:r w:rsidRPr="008D2833">
        <w:t xml:space="preserve"> is based on the PVGRPP (P80). </w:t>
      </w:r>
    </w:p>
    <w:p w:rsidR="008D2833" w:rsidRDefault="008B6CA4" w:rsidP="00643904">
      <w:pPr>
        <w:pStyle w:val="ListParagraph"/>
        <w:numPr>
          <w:ilvl w:val="0"/>
          <w:numId w:val="5"/>
        </w:numPr>
      </w:pPr>
      <w:r>
        <w:t>Capacity counted for an ESR</w:t>
      </w:r>
      <w:r w:rsidR="008D2833" w:rsidRPr="008D2833">
        <w:t xml:space="preserve"> will be based on the COP. </w:t>
      </w:r>
    </w:p>
    <w:p w:rsidR="008D2833" w:rsidRDefault="008B6CA4" w:rsidP="00643904">
      <w:pPr>
        <w:pStyle w:val="ListParagraph"/>
        <w:numPr>
          <w:ilvl w:val="0"/>
          <w:numId w:val="5"/>
        </w:numPr>
      </w:pPr>
      <w:r>
        <w:t>Under ERCOT proposal for DC</w:t>
      </w:r>
      <w:r w:rsidR="006C4D26">
        <w:t>-</w:t>
      </w:r>
      <w:r>
        <w:t xml:space="preserve">Coupled Resources, </w:t>
      </w:r>
      <w:r w:rsidR="008D2833" w:rsidRPr="008D2833">
        <w:t>COP HSL values for DC-Coupled Resources will be set to the STPPF (P50) with the option for the QSE to increase</w:t>
      </w:r>
      <w:r w:rsidR="008D2833">
        <w:t xml:space="preserve">/decrease </w:t>
      </w:r>
      <w:r w:rsidR="008D2833" w:rsidRPr="008D2833">
        <w:t>the HSL</w:t>
      </w:r>
      <w:r>
        <w:t xml:space="preserve"> based on battery capability</w:t>
      </w:r>
      <w:r w:rsidR="008D2833" w:rsidRPr="008D2833">
        <w:t xml:space="preserve">. </w:t>
      </w:r>
    </w:p>
    <w:p w:rsidR="008D2833" w:rsidRDefault="008D2833" w:rsidP="00643904">
      <w:pPr>
        <w:pStyle w:val="ListParagraph"/>
        <w:numPr>
          <w:ilvl w:val="0"/>
          <w:numId w:val="5"/>
        </w:numPr>
      </w:pPr>
      <w:r w:rsidRPr="008D2833">
        <w:t>P50 values are usually higher than the P80 and using such would give the QSE more capacity credit in the RUC Capacity Short Charge.</w:t>
      </w:r>
    </w:p>
    <w:p w:rsidR="008D2833" w:rsidRDefault="008D2833" w:rsidP="00643904">
      <w:pPr>
        <w:pStyle w:val="ListParagraph"/>
        <w:numPr>
          <w:ilvl w:val="0"/>
          <w:numId w:val="5"/>
        </w:numPr>
      </w:pPr>
      <w:r w:rsidRPr="008D2833">
        <w:t xml:space="preserve">If the current process used for IRRs (P80) is used, the QSE </w:t>
      </w:r>
      <w:r w:rsidR="00CC3BAE">
        <w:t>would</w:t>
      </w:r>
      <w:r w:rsidR="00CC3BAE" w:rsidRPr="008D2833">
        <w:t xml:space="preserve"> </w:t>
      </w:r>
      <w:r w:rsidRPr="008D2833">
        <w:t>not be able to adjust the capacity considered in RUC Capacity Short calculations based on the capability of the battery.</w:t>
      </w:r>
    </w:p>
    <w:p w:rsidR="00643904" w:rsidRDefault="00643904" w:rsidP="00643904">
      <w:pPr>
        <w:rPr>
          <w:u w:val="single"/>
        </w:rPr>
      </w:pPr>
    </w:p>
    <w:p w:rsidR="00643904" w:rsidRPr="00643904" w:rsidRDefault="00643904" w:rsidP="00643904">
      <w:pPr>
        <w:rPr>
          <w:u w:val="single"/>
        </w:rPr>
      </w:pPr>
      <w:r>
        <w:rPr>
          <w:u w:val="single"/>
        </w:rPr>
        <w:t>Option 2</w:t>
      </w:r>
      <w:r w:rsidRPr="00643904">
        <w:rPr>
          <w:u w:val="single"/>
        </w:rPr>
        <w:t>:</w:t>
      </w:r>
    </w:p>
    <w:p w:rsidR="00643904" w:rsidRDefault="00643904" w:rsidP="00643904">
      <w:r>
        <w:t xml:space="preserve">An option that is more complicated to implement, but would make the treatment more comparable </w:t>
      </w:r>
      <w:r w:rsidR="00CC3BAE">
        <w:t xml:space="preserve">to </w:t>
      </w:r>
      <w:r>
        <w:t>that of IRRs</w:t>
      </w:r>
      <w:r w:rsidR="00974766">
        <w:t>.</w:t>
      </w:r>
    </w:p>
    <w:p w:rsidR="00643904" w:rsidRPr="00643904" w:rsidRDefault="00643904" w:rsidP="00643904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643904">
        <w:t xml:space="preserve">For </w:t>
      </w:r>
      <w:r w:rsidR="00CC3BAE">
        <w:t xml:space="preserve">a </w:t>
      </w:r>
      <w:r w:rsidRPr="00643904">
        <w:t>DC</w:t>
      </w:r>
      <w:r w:rsidR="00CC3BAE">
        <w:t>-</w:t>
      </w:r>
      <w:r w:rsidRPr="00643904">
        <w:t>Coupled Resource, use the P80 as the default for determining RUC Capacity Short Charges.</w:t>
      </w:r>
    </w:p>
    <w:p w:rsidR="00643904" w:rsidRPr="00643904" w:rsidRDefault="00643904" w:rsidP="00643904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643904">
        <w:t>If the QSE adjusts the COP HSL (P50) value to account for the battery capability, then make the same adjustment to the P80 value when determining RUC Capacity Short Charges.</w:t>
      </w:r>
    </w:p>
    <w:p w:rsidR="00643904" w:rsidRPr="00643904" w:rsidRDefault="00643904" w:rsidP="00643904"/>
    <w:p w:rsidR="00643904" w:rsidRPr="00643904" w:rsidRDefault="00643904" w:rsidP="00643904">
      <w:pPr>
        <w:ind w:left="360"/>
      </w:pPr>
      <w:r w:rsidRPr="00643904">
        <w:t>Example</w:t>
      </w:r>
      <w:r>
        <w:t xml:space="preserve"> (for option 2)</w:t>
      </w:r>
      <w:r w:rsidRPr="00643904">
        <w:t>:</w:t>
      </w:r>
    </w:p>
    <w:p w:rsidR="00643904" w:rsidRPr="00643904" w:rsidRDefault="00643904" w:rsidP="00643904">
      <w:pPr>
        <w:spacing w:after="0" w:line="240" w:lineRule="auto"/>
        <w:ind w:left="360"/>
      </w:pPr>
      <w:r w:rsidRPr="00643904">
        <w:t>P50 = 100 MW</w:t>
      </w:r>
    </w:p>
    <w:p w:rsidR="00643904" w:rsidRPr="00643904" w:rsidRDefault="00643904" w:rsidP="00643904">
      <w:pPr>
        <w:spacing w:after="0" w:line="240" w:lineRule="auto"/>
        <w:ind w:left="360"/>
      </w:pPr>
      <w:r w:rsidRPr="00643904">
        <w:t>P80 = 75 MW</w:t>
      </w:r>
    </w:p>
    <w:p w:rsidR="00643904" w:rsidRPr="00643904" w:rsidRDefault="00643904" w:rsidP="00643904">
      <w:pPr>
        <w:spacing w:after="0" w:line="240" w:lineRule="auto"/>
        <w:ind w:left="360"/>
      </w:pPr>
      <w:r w:rsidRPr="00643904">
        <w:t>QSE increases the COP HSL from 100 to 120 MW (due to battery capability)</w:t>
      </w:r>
    </w:p>
    <w:p w:rsidR="00643904" w:rsidRPr="00643904" w:rsidRDefault="00643904" w:rsidP="00643904">
      <w:pPr>
        <w:spacing w:after="0" w:line="240" w:lineRule="auto"/>
        <w:ind w:left="360"/>
      </w:pPr>
      <w:r w:rsidRPr="00643904">
        <w:t>QSE gets 95 MW of credit for RUC Capacity Short for the DC-Coupled Resource</w:t>
      </w:r>
    </w:p>
    <w:p w:rsidR="00643904" w:rsidRDefault="00643904" w:rsidP="00643904">
      <w:bookmarkStart w:id="0" w:name="_GoBack"/>
      <w:bookmarkEnd w:id="0"/>
    </w:p>
    <w:sectPr w:rsidR="006439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D7" w:rsidRDefault="00FD4AD7" w:rsidP="00BF565B">
      <w:pPr>
        <w:spacing w:after="0" w:line="240" w:lineRule="auto"/>
      </w:pPr>
      <w:r>
        <w:separator/>
      </w:r>
    </w:p>
  </w:endnote>
  <w:endnote w:type="continuationSeparator" w:id="0">
    <w:p w:rsidR="00FD4AD7" w:rsidRDefault="00FD4AD7" w:rsidP="00BF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5B" w:rsidRDefault="00BF565B">
    <w:pPr>
      <w:pStyle w:val="Footer"/>
    </w:pPr>
    <w:r>
      <w:t>2-24-20</w:t>
    </w:r>
  </w:p>
  <w:p w:rsidR="00BF565B" w:rsidRDefault="00BF5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D7" w:rsidRDefault="00FD4AD7" w:rsidP="00BF565B">
      <w:pPr>
        <w:spacing w:after="0" w:line="240" w:lineRule="auto"/>
      </w:pPr>
      <w:r>
        <w:separator/>
      </w:r>
    </w:p>
  </w:footnote>
  <w:footnote w:type="continuationSeparator" w:id="0">
    <w:p w:rsidR="00FD4AD7" w:rsidRDefault="00FD4AD7" w:rsidP="00BF5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F07DE"/>
    <w:multiLevelType w:val="hybridMultilevel"/>
    <w:tmpl w:val="EE9E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D373D"/>
    <w:multiLevelType w:val="hybridMultilevel"/>
    <w:tmpl w:val="C6624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2170E"/>
    <w:multiLevelType w:val="hybridMultilevel"/>
    <w:tmpl w:val="447E0A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91EB7"/>
    <w:multiLevelType w:val="hybridMultilevel"/>
    <w:tmpl w:val="F2008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23705"/>
    <w:multiLevelType w:val="hybridMultilevel"/>
    <w:tmpl w:val="0B70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33"/>
    <w:rsid w:val="0020680B"/>
    <w:rsid w:val="00471CAC"/>
    <w:rsid w:val="00643904"/>
    <w:rsid w:val="006C4D26"/>
    <w:rsid w:val="008B6CA4"/>
    <w:rsid w:val="008D2833"/>
    <w:rsid w:val="00974766"/>
    <w:rsid w:val="009F1C37"/>
    <w:rsid w:val="00B549E1"/>
    <w:rsid w:val="00BF565B"/>
    <w:rsid w:val="00C42422"/>
    <w:rsid w:val="00CC3BAE"/>
    <w:rsid w:val="00F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1BE3C-6CB4-4FF2-987A-498E0784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2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8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8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F5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5B"/>
  </w:style>
  <w:style w:type="paragraph" w:styleId="Footer">
    <w:name w:val="footer"/>
    <w:basedOn w:val="Normal"/>
    <w:link w:val="FooterChar"/>
    <w:uiPriority w:val="99"/>
    <w:unhideWhenUsed/>
    <w:rsid w:val="00BF5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5B"/>
  </w:style>
  <w:style w:type="paragraph" w:styleId="BalloonText">
    <w:name w:val="Balloon Text"/>
    <w:basedOn w:val="Normal"/>
    <w:link w:val="BalloonTextChar"/>
    <w:uiPriority w:val="99"/>
    <w:semiHidden/>
    <w:unhideWhenUsed/>
    <w:rsid w:val="006C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SMESR</dc:creator>
  <cp:keywords/>
  <dc:description/>
  <cp:lastModifiedBy>ERCOT</cp:lastModifiedBy>
  <cp:revision>2</cp:revision>
  <dcterms:created xsi:type="dcterms:W3CDTF">2020-02-24T20:54:00Z</dcterms:created>
  <dcterms:modified xsi:type="dcterms:W3CDTF">2020-02-24T20:54:00Z</dcterms:modified>
</cp:coreProperties>
</file>