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89" w:rsidRDefault="005C6289" w:rsidP="00BA5BCC">
      <w:pPr>
        <w:pStyle w:val="Heading1"/>
        <w:jc w:val="both"/>
      </w:pPr>
      <w:r>
        <w:t xml:space="preserve">Battery Energy Storage Task Force (BESTF) </w:t>
      </w:r>
      <w:r w:rsidR="006B1F61">
        <w:t xml:space="preserve">KTC -14 </w:t>
      </w:r>
    </w:p>
    <w:p w:rsidR="008A5D87" w:rsidRDefault="005C6289" w:rsidP="00BA5BCC">
      <w:pPr>
        <w:jc w:val="both"/>
      </w:pPr>
      <w:r w:rsidRPr="005C6289">
        <w:rPr>
          <w:rStyle w:val="Heading2Char"/>
        </w:rPr>
        <w:t>Title:</w:t>
      </w:r>
      <w:r>
        <w:t xml:space="preserve"> </w:t>
      </w:r>
      <w:r w:rsidR="006B1F61" w:rsidRPr="006B1F61">
        <w:t xml:space="preserve">Review existing </w:t>
      </w:r>
      <w:r w:rsidR="00BA5BCC">
        <w:t>s</w:t>
      </w:r>
      <w:r w:rsidR="006B1F61" w:rsidRPr="006B1F61">
        <w:t xml:space="preserve">tudy </w:t>
      </w:r>
      <w:r w:rsidR="00BA5BCC">
        <w:t>r</w:t>
      </w:r>
      <w:r w:rsidR="006B1F61" w:rsidRPr="006B1F61">
        <w:t xml:space="preserve">equirements and </w:t>
      </w:r>
      <w:r w:rsidR="00BA5BCC">
        <w:t>d</w:t>
      </w:r>
      <w:r w:rsidR="006B1F61" w:rsidRPr="006B1F61">
        <w:t xml:space="preserve">etermine if new </w:t>
      </w:r>
      <w:r w:rsidR="00BA5BCC">
        <w:t>s</w:t>
      </w:r>
      <w:r w:rsidR="006B1F61" w:rsidRPr="006B1F61">
        <w:t>tudies are needed</w:t>
      </w:r>
    </w:p>
    <w:p w:rsidR="006B1F61" w:rsidRDefault="005C6289" w:rsidP="00BA5BCC">
      <w:pPr>
        <w:jc w:val="both"/>
      </w:pPr>
      <w:r>
        <w:rPr>
          <w:rStyle w:val="Heading2Char"/>
        </w:rPr>
        <w:t>Objective</w:t>
      </w:r>
      <w:r w:rsidRPr="005C6289">
        <w:rPr>
          <w:rStyle w:val="Heading2Char"/>
        </w:rPr>
        <w:t>:</w:t>
      </w:r>
      <w:r>
        <w:t xml:space="preserve"> </w:t>
      </w:r>
      <w:r w:rsidR="006B1F61" w:rsidRPr="006B1F61">
        <w:t xml:space="preserve">Identify if new studies are needed for interconnecting ESR due to interactions between the controls of the </w:t>
      </w:r>
      <w:r w:rsidR="00374A02">
        <w:t>Energy Storage Resource (“</w:t>
      </w:r>
      <w:r w:rsidR="006B1F61" w:rsidRPr="006B1F61">
        <w:t>ESR</w:t>
      </w:r>
      <w:r w:rsidR="00374A02">
        <w:t>”)</w:t>
      </w:r>
      <w:r w:rsidR="006B1F61" w:rsidRPr="006B1F61">
        <w:t xml:space="preserve"> and neighboring active devices such as </w:t>
      </w:r>
      <w:r w:rsidR="00374A02">
        <w:t>High Voltage Direct Current (“</w:t>
      </w:r>
      <w:r w:rsidR="006B1F61" w:rsidRPr="006B1F61">
        <w:t>HVDC</w:t>
      </w:r>
      <w:r w:rsidR="00374A02">
        <w:t>”)</w:t>
      </w:r>
      <w:r w:rsidR="006B1F61" w:rsidRPr="006B1F61">
        <w:t xml:space="preserve"> tie</w:t>
      </w:r>
      <w:r w:rsidR="00374A02">
        <w:t>s</w:t>
      </w:r>
      <w:r w:rsidR="006B1F61" w:rsidRPr="006B1F61">
        <w:t>, S</w:t>
      </w:r>
      <w:r w:rsidR="00374A02">
        <w:t>tatic VAR Compensators (“S</w:t>
      </w:r>
      <w:r w:rsidR="006B1F61" w:rsidRPr="006B1F61">
        <w:t>VC</w:t>
      </w:r>
      <w:r w:rsidR="00374A02">
        <w:t>”)</w:t>
      </w:r>
      <w:r w:rsidR="006B1F61" w:rsidRPr="006B1F61">
        <w:t xml:space="preserve">, </w:t>
      </w:r>
      <w:r w:rsidR="00374A02">
        <w:t>Static Synchronous Compensators (“</w:t>
      </w:r>
      <w:r w:rsidR="006B1F61" w:rsidRPr="006B1F61">
        <w:t>STATCOM</w:t>
      </w:r>
      <w:r w:rsidR="00374A02">
        <w:t>”)</w:t>
      </w:r>
      <w:r w:rsidR="006B1F61" w:rsidRPr="006B1F61">
        <w:t xml:space="preserve">, or </w:t>
      </w:r>
      <w:r w:rsidR="00374A02">
        <w:t xml:space="preserve">other </w:t>
      </w:r>
      <w:r w:rsidR="006B1F61" w:rsidRPr="006B1F61">
        <w:t>ESR</w:t>
      </w:r>
      <w:r w:rsidR="00374A02">
        <w:t>s</w:t>
      </w:r>
      <w:r w:rsidR="006B1F61" w:rsidRPr="006B1F61">
        <w:t>.</w:t>
      </w:r>
    </w:p>
    <w:p w:rsidR="005C6289" w:rsidRDefault="005C6289" w:rsidP="00BA5BCC">
      <w:pPr>
        <w:pStyle w:val="Heading2"/>
        <w:jc w:val="both"/>
      </w:pPr>
      <w:r>
        <w:t xml:space="preserve">Resolution: </w:t>
      </w:r>
      <w:bookmarkStart w:id="0" w:name="_GoBack"/>
      <w:bookmarkEnd w:id="0"/>
    </w:p>
    <w:p w:rsidR="00374A02" w:rsidRDefault="006B1F61" w:rsidP="00BA5BCC">
      <w:pPr>
        <w:pStyle w:val="ListParagraph"/>
        <w:numPr>
          <w:ilvl w:val="0"/>
          <w:numId w:val="1"/>
        </w:numPr>
        <w:jc w:val="both"/>
      </w:pPr>
      <w:r>
        <w:t xml:space="preserve">The need for additional </w:t>
      </w:r>
      <w:r w:rsidR="005C6289">
        <w:t>studies</w:t>
      </w:r>
      <w:r w:rsidR="00374A02">
        <w:t>,</w:t>
      </w:r>
      <w:r w:rsidR="005C6289">
        <w:t xml:space="preserve"> due</w:t>
      </w:r>
      <w:r w:rsidR="00A7363D">
        <w:t xml:space="preserve"> to possible</w:t>
      </w:r>
      <w:r w:rsidR="005C6289">
        <w:t xml:space="preserve"> local issues</w:t>
      </w:r>
      <w:r w:rsidR="007B0DAF">
        <w:t xml:space="preserve"> such as:</w:t>
      </w:r>
    </w:p>
    <w:p w:rsidR="00374A02" w:rsidRDefault="00374A02" w:rsidP="00BA5BCC">
      <w:pPr>
        <w:pStyle w:val="ListParagraph"/>
        <w:numPr>
          <w:ilvl w:val="1"/>
          <w:numId w:val="1"/>
        </w:numPr>
        <w:jc w:val="both"/>
      </w:pPr>
      <w:r>
        <w:t>L</w:t>
      </w:r>
      <w:r w:rsidR="005C6289">
        <w:t xml:space="preserve">ow short-circuit </w:t>
      </w:r>
      <w:r w:rsidR="007B0DAF">
        <w:t>ratio</w:t>
      </w:r>
      <w:r>
        <w:t xml:space="preserve"> at the POI</w:t>
      </w:r>
    </w:p>
    <w:p w:rsidR="00374A02" w:rsidRDefault="00374A02" w:rsidP="00BA5BCC">
      <w:pPr>
        <w:pStyle w:val="ListParagraph"/>
        <w:numPr>
          <w:ilvl w:val="1"/>
          <w:numId w:val="1"/>
        </w:numPr>
        <w:jc w:val="both"/>
      </w:pPr>
      <w:r>
        <w:t>H</w:t>
      </w:r>
      <w:r w:rsidR="005C6289">
        <w:t>armonic</w:t>
      </w:r>
      <w:r w:rsidR="007B0DAF">
        <w:t xml:space="preserve"> injection</w:t>
      </w:r>
      <w:r>
        <w:t xml:space="preserve"> and/or resonance at the POI</w:t>
      </w:r>
    </w:p>
    <w:p w:rsidR="00374A02" w:rsidRDefault="00374A02" w:rsidP="00BA5BCC">
      <w:pPr>
        <w:pStyle w:val="ListParagraph"/>
        <w:numPr>
          <w:ilvl w:val="1"/>
          <w:numId w:val="1"/>
        </w:numPr>
        <w:jc w:val="both"/>
      </w:pPr>
      <w:r>
        <w:t>I</w:t>
      </w:r>
      <w:r w:rsidR="005C6289">
        <w:t>nteractions</w:t>
      </w:r>
      <w:r w:rsidR="006B1F61">
        <w:t xml:space="preserve"> with neighboring devices</w:t>
      </w:r>
      <w:r>
        <w:t xml:space="preserve"> (SVCs, HVDC ties, STATCOMs, </w:t>
      </w:r>
      <w:r w:rsidR="00685592">
        <w:t>etc.</w:t>
      </w:r>
      <w:r>
        <w:t>…)</w:t>
      </w:r>
    </w:p>
    <w:p w:rsidR="006B1F61" w:rsidRDefault="00374A02" w:rsidP="00BA5BCC">
      <w:pPr>
        <w:pStyle w:val="ListParagraph"/>
        <w:jc w:val="both"/>
      </w:pPr>
      <w:r>
        <w:t xml:space="preserve">This </w:t>
      </w:r>
      <w:r w:rsidR="006B1F61">
        <w:t xml:space="preserve">is a broader topic and </w:t>
      </w:r>
      <w:r w:rsidR="005C6289">
        <w:t>applies generally to</w:t>
      </w:r>
      <w:r w:rsidR="00A7363D">
        <w:t xml:space="preserve"> all</w:t>
      </w:r>
      <w:r w:rsidR="006B1F61">
        <w:t xml:space="preserve"> Inverter Based Resources. </w:t>
      </w:r>
    </w:p>
    <w:p w:rsidR="006B1F61" w:rsidRDefault="006B1F61" w:rsidP="00BA5BCC">
      <w:pPr>
        <w:pStyle w:val="ListParagraph"/>
        <w:numPr>
          <w:ilvl w:val="0"/>
          <w:numId w:val="1"/>
        </w:numPr>
        <w:jc w:val="both"/>
      </w:pPr>
      <w:r>
        <w:t xml:space="preserve">Therefore, the objective of this KTC </w:t>
      </w:r>
      <w:r w:rsidR="00A56EBF">
        <w:t>is being addressed</w:t>
      </w:r>
      <w:r>
        <w:t xml:space="preserve"> with the initiative that ERCOT is undertaking for </w:t>
      </w:r>
      <w:r w:rsidR="00685592">
        <w:t>Inverter-</w:t>
      </w:r>
      <w:r>
        <w:t>Based Resources</w:t>
      </w:r>
      <w:r w:rsidR="00374A02">
        <w:t xml:space="preserve"> (“IBR”)</w:t>
      </w:r>
      <w:r w:rsidR="00685592">
        <w:t>, as well as at the Resource Integration Workshop (“RIW”)</w:t>
      </w:r>
      <w:r>
        <w:t xml:space="preserve">. </w:t>
      </w:r>
    </w:p>
    <w:p w:rsidR="006B1F61" w:rsidRDefault="00A56EBF" w:rsidP="00BA5BCC">
      <w:pPr>
        <w:pStyle w:val="ListParagraph"/>
        <w:numPr>
          <w:ilvl w:val="0"/>
          <w:numId w:val="1"/>
        </w:numPr>
        <w:jc w:val="both"/>
      </w:pPr>
      <w:r>
        <w:t xml:space="preserve">Note that </w:t>
      </w:r>
      <w:r w:rsidR="006B1F61">
        <w:t xml:space="preserve">ERCOT provides </w:t>
      </w:r>
      <w:r>
        <w:t xml:space="preserve">a </w:t>
      </w:r>
      <w:r w:rsidR="004F667E">
        <w:t>regular update</w:t>
      </w:r>
      <w:r w:rsidR="00960337">
        <w:t xml:space="preserve"> </w:t>
      </w:r>
      <w:r w:rsidR="006B1F61">
        <w:t xml:space="preserve">to ROS on </w:t>
      </w:r>
      <w:r>
        <w:t xml:space="preserve">the </w:t>
      </w:r>
      <w:r w:rsidR="006B1F61">
        <w:t xml:space="preserve">IBR initiative. </w:t>
      </w:r>
    </w:p>
    <w:p w:rsidR="00A7363D" w:rsidRDefault="00A7363D" w:rsidP="00BA5BCC">
      <w:pPr>
        <w:pStyle w:val="ListParagraph"/>
        <w:numPr>
          <w:ilvl w:val="0"/>
          <w:numId w:val="1"/>
        </w:numPr>
        <w:jc w:val="both"/>
      </w:pPr>
      <w:r>
        <w:t xml:space="preserve">There is also an existing process by which </w:t>
      </w:r>
      <w:r w:rsidR="00374A02">
        <w:t>Transmission Distribution Service Providers (“</w:t>
      </w:r>
      <w:r>
        <w:t>TDSP</w:t>
      </w:r>
      <w:r w:rsidR="00374A02">
        <w:t>”)</w:t>
      </w:r>
      <w:r>
        <w:t xml:space="preserve"> may</w:t>
      </w:r>
      <w:r w:rsidR="004F667E">
        <w:t xml:space="preserve"> request</w:t>
      </w:r>
      <w:r>
        <w:t xml:space="preserve"> additional studies</w:t>
      </w:r>
      <w:r w:rsidR="00374A02">
        <w:t>,</w:t>
      </w:r>
      <w:r>
        <w:t xml:space="preserve"> as needed</w:t>
      </w:r>
      <w:r w:rsidR="00374A02">
        <w:t>,</w:t>
      </w:r>
      <w:r>
        <w:t xml:space="preserve"> due to </w:t>
      </w:r>
      <w:r w:rsidR="00374A02">
        <w:t xml:space="preserve">the </w:t>
      </w:r>
      <w:r>
        <w:t xml:space="preserve">location of the project and technology used. </w:t>
      </w:r>
    </w:p>
    <w:sectPr w:rsidR="00A736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D2" w:rsidRDefault="00E369D2" w:rsidP="003C3850">
      <w:pPr>
        <w:spacing w:after="0" w:line="240" w:lineRule="auto"/>
      </w:pPr>
      <w:r>
        <w:separator/>
      </w:r>
    </w:p>
  </w:endnote>
  <w:endnote w:type="continuationSeparator" w:id="0">
    <w:p w:rsidR="00E369D2" w:rsidRDefault="00E369D2" w:rsidP="003C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50" w:rsidRDefault="003C3850">
    <w:pPr>
      <w:pStyle w:val="Footer"/>
    </w:pPr>
    <w:r>
      <w:t>2-24-20</w:t>
    </w:r>
  </w:p>
  <w:p w:rsidR="003C3850" w:rsidRDefault="003C3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D2" w:rsidRDefault="00E369D2" w:rsidP="003C3850">
      <w:pPr>
        <w:spacing w:after="0" w:line="240" w:lineRule="auto"/>
      </w:pPr>
      <w:r>
        <w:separator/>
      </w:r>
    </w:p>
  </w:footnote>
  <w:footnote w:type="continuationSeparator" w:id="0">
    <w:p w:rsidR="00E369D2" w:rsidRDefault="00E369D2" w:rsidP="003C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87E24"/>
    <w:multiLevelType w:val="hybridMultilevel"/>
    <w:tmpl w:val="13EE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61"/>
    <w:rsid w:val="00374A02"/>
    <w:rsid w:val="003C3850"/>
    <w:rsid w:val="004F667E"/>
    <w:rsid w:val="005C6289"/>
    <w:rsid w:val="00685592"/>
    <w:rsid w:val="006B1F61"/>
    <w:rsid w:val="007B0DAF"/>
    <w:rsid w:val="008A5D87"/>
    <w:rsid w:val="00960337"/>
    <w:rsid w:val="00A56EBF"/>
    <w:rsid w:val="00A7363D"/>
    <w:rsid w:val="00BA5BCC"/>
    <w:rsid w:val="00D74075"/>
    <w:rsid w:val="00E369D2"/>
    <w:rsid w:val="00F2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93A53-A1A7-4779-BB15-8EEBBCE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F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62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C62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50"/>
  </w:style>
  <w:style w:type="paragraph" w:styleId="Footer">
    <w:name w:val="footer"/>
    <w:basedOn w:val="Normal"/>
    <w:link w:val="FooterChar"/>
    <w:uiPriority w:val="99"/>
    <w:unhideWhenUsed/>
    <w:rsid w:val="003C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SMESR</dc:creator>
  <cp:keywords/>
  <dc:description/>
  <cp:lastModifiedBy>ERCOT</cp:lastModifiedBy>
  <cp:revision>5</cp:revision>
  <dcterms:created xsi:type="dcterms:W3CDTF">2020-02-23T16:46:00Z</dcterms:created>
  <dcterms:modified xsi:type="dcterms:W3CDTF">2020-02-24T19:49:00Z</dcterms:modified>
</cp:coreProperties>
</file>