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6963D" w14:textId="77777777" w:rsidR="00715AF3" w:rsidRDefault="00715AF3" w:rsidP="00715AF3">
      <w:pPr>
        <w:pStyle w:val="H3"/>
        <w:spacing w:before="480"/>
      </w:pPr>
      <w:bookmarkStart w:id="0" w:name="_Toc402345619"/>
      <w:bookmarkStart w:id="1" w:name="_Toc405383902"/>
      <w:bookmarkStart w:id="2" w:name="_Toc405537005"/>
      <w:bookmarkStart w:id="3" w:name="_Toc440871791"/>
      <w:bookmarkStart w:id="4" w:name="_Toc17707798"/>
      <w:r>
        <w:t>4.4.11</w:t>
      </w:r>
      <w:r>
        <w:tab/>
        <w:t>System-Wide Offer Caps</w:t>
      </w:r>
      <w:bookmarkEnd w:id="0"/>
      <w:bookmarkEnd w:id="1"/>
      <w:bookmarkEnd w:id="2"/>
      <w:bookmarkEnd w:id="3"/>
      <w:bookmarkEnd w:id="4"/>
    </w:p>
    <w:p w14:paraId="4A8E5D34" w14:textId="77777777" w:rsidR="00715AF3" w:rsidRDefault="00715AF3" w:rsidP="00715AF3">
      <w:pPr>
        <w:pStyle w:val="BodyText"/>
        <w:ind w:left="720" w:hanging="720"/>
      </w:pPr>
      <w:r>
        <w:t>(1)</w:t>
      </w:r>
      <w:r>
        <w:tab/>
        <w:t xml:space="preserve">The SWCAP </w:t>
      </w:r>
      <w:r w:rsidRPr="008051F4">
        <w:rPr>
          <w:iCs w:val="0"/>
          <w:szCs w:val="20"/>
        </w:rPr>
        <w:t xml:space="preserve">shall be determined in accordance with </w:t>
      </w:r>
      <w:r>
        <w:rPr>
          <w:iCs w:val="0"/>
          <w:szCs w:val="20"/>
        </w:rPr>
        <w:t>the Public Utility Commission of Texas (PUCT) Substantive Rules</w:t>
      </w:r>
      <w:r w:rsidRPr="008051F4">
        <w:rPr>
          <w:iCs w:val="0"/>
          <w:szCs w:val="20"/>
        </w:rPr>
        <w:t>.</w:t>
      </w:r>
      <w:r>
        <w:rPr>
          <w:iCs w:val="0"/>
          <w:szCs w:val="20"/>
        </w:rPr>
        <w:t xml:space="preserve">  The </w:t>
      </w:r>
      <w:r>
        <w:t>methodology for determining the SWCAP is as follows:</w:t>
      </w:r>
      <w:r>
        <w:rPr>
          <w:iCs w:val="0"/>
          <w:szCs w:val="20"/>
        </w:rPr>
        <w:t xml:space="preserve"> </w:t>
      </w:r>
    </w:p>
    <w:p w14:paraId="529A72D3" w14:textId="77777777" w:rsidR="00715AF3" w:rsidRPr="00EB5B0C" w:rsidRDefault="00715AF3" w:rsidP="00715AF3">
      <w:pPr>
        <w:spacing w:after="240"/>
        <w:ind w:left="1440" w:hanging="720"/>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 xml:space="preserve">ap (LCAP) is set </w:t>
      </w:r>
      <w:proofErr w:type="gramStart"/>
      <w:r w:rsidRPr="00EB5B0C">
        <w:t>on a daily basis</w:t>
      </w:r>
      <w:proofErr w:type="gramEnd"/>
      <w:r w:rsidRPr="00EB5B0C">
        <w:t xml:space="preserve"> at the higher of:</w:t>
      </w:r>
    </w:p>
    <w:p w14:paraId="0A33E7D1" w14:textId="77777777" w:rsidR="00715AF3" w:rsidRPr="00EB5B0C" w:rsidRDefault="00715AF3" w:rsidP="00715AF3">
      <w:pPr>
        <w:pStyle w:val="List"/>
        <w:ind w:left="2160"/>
      </w:pPr>
      <w:r w:rsidRPr="00EB5B0C">
        <w:t>(</w:t>
      </w:r>
      <w:proofErr w:type="spellStart"/>
      <w:r>
        <w:t>i</w:t>
      </w:r>
      <w:proofErr w:type="spellEnd"/>
      <w:r w:rsidRPr="00EB5B0C">
        <w:t>)</w:t>
      </w:r>
      <w:r w:rsidRPr="00EB5B0C">
        <w:tab/>
        <w:t>$</w:t>
      </w:r>
      <w:r>
        <w:t>2,000</w:t>
      </w:r>
      <w:r w:rsidRPr="00EB5B0C">
        <w:t xml:space="preserve"> per MWh for energy and $</w:t>
      </w:r>
      <w:r>
        <w:t>2,000</w:t>
      </w:r>
      <w:r w:rsidRPr="00EB5B0C">
        <w:t xml:space="preserve"> per MW per hour for Ancillary Services; or</w:t>
      </w:r>
    </w:p>
    <w:p w14:paraId="0450E444" w14:textId="77777777" w:rsidR="00715AF3" w:rsidRPr="00EB5B0C" w:rsidRDefault="00715AF3" w:rsidP="00715AF3">
      <w:pPr>
        <w:pStyle w:val="List"/>
        <w:ind w:left="2160"/>
      </w:pPr>
      <w:r w:rsidRPr="00EB5B0C">
        <w:t>(</w:t>
      </w:r>
      <w:r>
        <w:t>ii</w:t>
      </w:r>
      <w:r w:rsidRPr="00EB5B0C">
        <w:t>)</w:t>
      </w:r>
      <w:r w:rsidRPr="00EB5B0C">
        <w:tab/>
        <w:t>Fifty times the</w:t>
      </w:r>
      <w:r>
        <w:t xml:space="preserve"> effective daily FIP</w:t>
      </w:r>
      <w:r w:rsidRPr="00EB5B0C">
        <w:t>, expressed in dollars per MWh for energy and dollars per MW per hour for Ancillary Services.</w:t>
      </w:r>
      <w:r>
        <w:t xml:space="preserve"> </w:t>
      </w:r>
    </w:p>
    <w:p w14:paraId="2E51C60B" w14:textId="77777777" w:rsidR="00715AF3" w:rsidRDefault="00715AF3" w:rsidP="00715AF3">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If the PNM exceeds </w:t>
      </w:r>
      <w:r>
        <w:t>PNM threshold</w:t>
      </w:r>
      <w:r w:rsidRPr="00EB5B0C">
        <w:t xml:space="preserve"> per MW</w:t>
      </w:r>
      <w:r>
        <w:t>-year</w:t>
      </w:r>
      <w:r w:rsidRPr="00EB5B0C">
        <w:t xml:space="preserve"> during an annual </w:t>
      </w:r>
      <w:r>
        <w:t>R</w:t>
      </w:r>
      <w:r w:rsidRPr="00EB5B0C">
        <w:t xml:space="preserve">esource adequacy cycle, on the next Operating Day, the SWCAP shall be reset to the LCAP for the remainder of that annual </w:t>
      </w:r>
      <w:r>
        <w:t>R</w:t>
      </w:r>
      <w:r w:rsidRPr="00EB5B0C">
        <w:t>esource adequacy cycle.</w:t>
      </w:r>
    </w:p>
    <w:p w14:paraId="12275676" w14:textId="77777777" w:rsidR="00715AF3" w:rsidRPr="00EB5B0C" w:rsidRDefault="00715AF3" w:rsidP="00715AF3">
      <w:pPr>
        <w:spacing w:after="240"/>
        <w:ind w:left="1440" w:hanging="720"/>
      </w:pPr>
      <w:r>
        <w:t>(c)</w:t>
      </w:r>
      <w:r>
        <w:tab/>
      </w:r>
      <w:r w:rsidRPr="00D61BA9">
        <w:t>ERCOT shall set the PNM threshold at three times the cost of new entry of new generation plants.</w:t>
      </w:r>
    </w:p>
    <w:p w14:paraId="0A2CA4C4" w14:textId="77777777" w:rsidR="00715AF3" w:rsidRDefault="00715AF3" w:rsidP="00715AF3">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715AF3" w:rsidRPr="00D74ADF" w14:paraId="61584150" w14:textId="77777777" w:rsidTr="004B6D90">
        <w:trPr>
          <w:trHeight w:val="351"/>
          <w:tblHeader/>
        </w:trPr>
        <w:tc>
          <w:tcPr>
            <w:tcW w:w="1571" w:type="dxa"/>
          </w:tcPr>
          <w:p w14:paraId="6DB9BA02" w14:textId="77777777" w:rsidR="00715AF3" w:rsidRPr="00A8084A" w:rsidRDefault="00715AF3" w:rsidP="004B6D90">
            <w:pPr>
              <w:pStyle w:val="TableHead"/>
            </w:pPr>
            <w:r w:rsidRPr="00E10651">
              <w:t>Parameter</w:t>
            </w:r>
          </w:p>
        </w:tc>
        <w:tc>
          <w:tcPr>
            <w:tcW w:w="1691" w:type="dxa"/>
          </w:tcPr>
          <w:p w14:paraId="0921D185" w14:textId="77777777" w:rsidR="00715AF3" w:rsidRPr="00A8084A" w:rsidRDefault="00715AF3" w:rsidP="004B6D90">
            <w:pPr>
              <w:pStyle w:val="TableHead"/>
            </w:pPr>
            <w:r w:rsidRPr="00A8084A">
              <w:t>Unit</w:t>
            </w:r>
          </w:p>
        </w:tc>
        <w:tc>
          <w:tcPr>
            <w:tcW w:w="5854" w:type="dxa"/>
          </w:tcPr>
          <w:p w14:paraId="716F9948" w14:textId="77777777" w:rsidR="00715AF3" w:rsidRPr="00A8084A" w:rsidRDefault="00715AF3" w:rsidP="004B6D90">
            <w:pPr>
              <w:pStyle w:val="TableHead"/>
            </w:pPr>
            <w:r w:rsidRPr="00A8084A">
              <w:t>Current Value*</w:t>
            </w:r>
          </w:p>
        </w:tc>
      </w:tr>
      <w:tr w:rsidR="00715AF3" w:rsidRPr="00D74ADF" w14:paraId="05FF7240" w14:textId="77777777" w:rsidTr="004B6D90">
        <w:trPr>
          <w:trHeight w:val="404"/>
        </w:trPr>
        <w:tc>
          <w:tcPr>
            <w:tcW w:w="1571" w:type="dxa"/>
          </w:tcPr>
          <w:p w14:paraId="11CE721B" w14:textId="77777777" w:rsidR="00715AF3" w:rsidRPr="00B46A1F" w:rsidRDefault="00715AF3" w:rsidP="004B6D90">
            <w:pPr>
              <w:pStyle w:val="TableBody"/>
            </w:pPr>
            <w:r>
              <w:t>HCAP</w:t>
            </w:r>
          </w:p>
        </w:tc>
        <w:tc>
          <w:tcPr>
            <w:tcW w:w="1691" w:type="dxa"/>
          </w:tcPr>
          <w:p w14:paraId="37FC39B2" w14:textId="77777777" w:rsidR="00715AF3" w:rsidRPr="00A8084A" w:rsidRDefault="00715AF3" w:rsidP="004B6D90">
            <w:pPr>
              <w:pStyle w:val="TableBody"/>
            </w:pPr>
            <w:r>
              <w:t>$/MWh</w:t>
            </w:r>
          </w:p>
        </w:tc>
        <w:tc>
          <w:tcPr>
            <w:tcW w:w="5854" w:type="dxa"/>
          </w:tcPr>
          <w:p w14:paraId="623E2ADE" w14:textId="77777777" w:rsidR="00715AF3" w:rsidRPr="00A8084A" w:rsidRDefault="00715AF3" w:rsidP="004B6D90">
            <w:pPr>
              <w:pStyle w:val="TableBody"/>
            </w:pPr>
            <w:r>
              <w:t>9,000</w:t>
            </w:r>
          </w:p>
        </w:tc>
      </w:tr>
      <w:tr w:rsidR="00715AF3" w:rsidRPr="00D74ADF" w14:paraId="6EABC233" w14:textId="77777777" w:rsidTr="004B6D90">
        <w:trPr>
          <w:trHeight w:val="404"/>
        </w:trPr>
        <w:tc>
          <w:tcPr>
            <w:tcW w:w="1571" w:type="dxa"/>
          </w:tcPr>
          <w:p w14:paraId="33CEAE6F" w14:textId="77777777" w:rsidR="00715AF3" w:rsidRDefault="00715AF3" w:rsidP="004B6D90">
            <w:pPr>
              <w:pStyle w:val="TableBody"/>
            </w:pPr>
            <w:r>
              <w:t>PNM threshold</w:t>
            </w:r>
          </w:p>
        </w:tc>
        <w:tc>
          <w:tcPr>
            <w:tcW w:w="1691" w:type="dxa"/>
          </w:tcPr>
          <w:p w14:paraId="1B06A01C" w14:textId="77777777" w:rsidR="00715AF3" w:rsidRDefault="00715AF3" w:rsidP="004B6D90">
            <w:pPr>
              <w:pStyle w:val="TableBody"/>
            </w:pPr>
            <w:r>
              <w:t>$/MW-year</w:t>
            </w:r>
          </w:p>
        </w:tc>
        <w:tc>
          <w:tcPr>
            <w:tcW w:w="5854" w:type="dxa"/>
          </w:tcPr>
          <w:p w14:paraId="68390618" w14:textId="77777777" w:rsidR="00715AF3" w:rsidRDefault="00715AF3" w:rsidP="004B6D90">
            <w:pPr>
              <w:pStyle w:val="TableBody"/>
            </w:pPr>
            <w:r>
              <w:t>315,000</w:t>
            </w:r>
          </w:p>
        </w:tc>
      </w:tr>
      <w:tr w:rsidR="00715AF3" w:rsidRPr="00BE4766" w14:paraId="6F4FE922" w14:textId="77777777" w:rsidTr="004B6D90">
        <w:trPr>
          <w:trHeight w:val="323"/>
        </w:trPr>
        <w:tc>
          <w:tcPr>
            <w:tcW w:w="9116" w:type="dxa"/>
            <w:gridSpan w:val="3"/>
          </w:tcPr>
          <w:p w14:paraId="4E46058E" w14:textId="77777777" w:rsidR="00715AF3" w:rsidRPr="00A8084A" w:rsidRDefault="00715AF3" w:rsidP="004B6D90">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7AFA14E" w14:textId="77777777" w:rsidR="00715AF3" w:rsidRDefault="00715AF3" w:rsidP="00715AF3">
      <w:pPr>
        <w:pStyle w:val="BodyText"/>
        <w:spacing w:before="240"/>
        <w:ind w:left="720" w:hanging="720"/>
      </w:pPr>
      <w:r>
        <w:t>(2)</w:t>
      </w:r>
      <w:r>
        <w:tab/>
        <w:t xml:space="preserve">Any offers that exceed the current SWCAP shall be rejected by ERCOT. </w:t>
      </w:r>
    </w:p>
    <w:p w14:paraId="5BE67DF9" w14:textId="77777777" w:rsidR="00650DD5" w:rsidRDefault="00715AF3">
      <w:bookmarkStart w:id="5" w:name="_GoBack"/>
      <w:bookmarkEnd w:id="5"/>
    </w:p>
    <w:sectPr w:rsidR="00650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F3"/>
    <w:rsid w:val="00271478"/>
    <w:rsid w:val="006B34FA"/>
    <w:rsid w:val="00715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485E"/>
  <w15:chartTrackingRefBased/>
  <w15:docId w15:val="{AB1EFC77-A8A7-4C09-8544-59351297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A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1,Char1"/>
    <w:basedOn w:val="Normal"/>
    <w:link w:val="ListChar"/>
    <w:rsid w:val="00715AF3"/>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
    <w:basedOn w:val="Normal"/>
    <w:link w:val="BodyTextChar3"/>
    <w:rsid w:val="00715AF3"/>
    <w:pPr>
      <w:spacing w:after="240"/>
    </w:pPr>
    <w:rPr>
      <w:iCs/>
    </w:rPr>
  </w:style>
  <w:style w:type="character" w:customStyle="1" w:styleId="BodyTextChar">
    <w:name w:val="Body Text Char"/>
    <w:basedOn w:val="DefaultParagraphFont"/>
    <w:uiPriority w:val="99"/>
    <w:semiHidden/>
    <w:rsid w:val="00715AF3"/>
    <w:rPr>
      <w:rFonts w:ascii="Times New Roman" w:eastAsia="Times New Roman" w:hAnsi="Times New Roman" w:cs="Times New Roman"/>
      <w:sz w:val="24"/>
      <w:szCs w:val="24"/>
    </w:rPr>
  </w:style>
  <w:style w:type="paragraph" w:customStyle="1" w:styleId="H3">
    <w:name w:val="H3"/>
    <w:basedOn w:val="Normal"/>
    <w:next w:val="BodyText"/>
    <w:link w:val="H3Char"/>
    <w:rsid w:val="00715AF3"/>
    <w:pPr>
      <w:keepNext/>
      <w:tabs>
        <w:tab w:val="left" w:pos="1080"/>
      </w:tabs>
      <w:spacing w:before="240" w:after="240"/>
      <w:ind w:left="1080" w:hanging="1080"/>
      <w:outlineLvl w:val="2"/>
    </w:pPr>
    <w:rPr>
      <w:b/>
      <w:bCs/>
      <w:i/>
    </w:rPr>
  </w:style>
  <w:style w:type="character" w:customStyle="1" w:styleId="ListChar">
    <w:name w:val="List Char"/>
    <w:aliases w:val=" Char1 Char1,Char1 Char"/>
    <w:link w:val="List"/>
    <w:rsid w:val="00715AF3"/>
    <w:rPr>
      <w:rFonts w:ascii="Times New Roman" w:eastAsia="Times New Roman" w:hAnsi="Times New Roman" w:cs="Times New Roman"/>
      <w:sz w:val="24"/>
      <w:szCs w:val="24"/>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
    <w:link w:val="BodyText"/>
    <w:rsid w:val="00715AF3"/>
    <w:rPr>
      <w:rFonts w:ascii="Times New Roman" w:eastAsia="Times New Roman" w:hAnsi="Times New Roman" w:cs="Times New Roman"/>
      <w:iCs/>
      <w:sz w:val="24"/>
      <w:szCs w:val="24"/>
    </w:rPr>
  </w:style>
  <w:style w:type="character" w:customStyle="1" w:styleId="H3Char">
    <w:name w:val="H3 Char"/>
    <w:link w:val="H3"/>
    <w:rsid w:val="00715AF3"/>
    <w:rPr>
      <w:rFonts w:ascii="Times New Roman" w:eastAsia="Times New Roman" w:hAnsi="Times New Roman" w:cs="Times New Roman"/>
      <w:b/>
      <w:bCs/>
      <w:i/>
      <w:sz w:val="24"/>
      <w:szCs w:val="24"/>
    </w:rPr>
  </w:style>
  <w:style w:type="paragraph" w:customStyle="1" w:styleId="TableBody">
    <w:name w:val="Table Body"/>
    <w:basedOn w:val="BodyText"/>
    <w:rsid w:val="00715AF3"/>
    <w:pPr>
      <w:spacing w:after="60"/>
    </w:pPr>
    <w:rPr>
      <w:sz w:val="20"/>
      <w:szCs w:val="20"/>
    </w:rPr>
  </w:style>
  <w:style w:type="paragraph" w:customStyle="1" w:styleId="TableHead">
    <w:name w:val="Table Head"/>
    <w:basedOn w:val="BodyText"/>
    <w:rsid w:val="00715AF3"/>
    <w:pPr>
      <w:spacing w:after="12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Smith</dc:creator>
  <cp:keywords/>
  <dc:description/>
  <cp:lastModifiedBy>Caitlin Smith</cp:lastModifiedBy>
  <cp:revision>1</cp:revision>
  <dcterms:created xsi:type="dcterms:W3CDTF">2020-02-19T23:13:00Z</dcterms:created>
  <dcterms:modified xsi:type="dcterms:W3CDTF">2020-02-19T23:14:00Z</dcterms:modified>
</cp:coreProperties>
</file>