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7F" w:rsidRDefault="004D5FC5" w:rsidP="00087A7F">
      <w:pPr>
        <w:pStyle w:val="NoSpacing"/>
        <w:rPr>
          <w:b/>
          <w:sz w:val="40"/>
          <w:u w:val="single"/>
        </w:rPr>
      </w:pPr>
      <w:r w:rsidRPr="00CF41C2">
        <w:rPr>
          <w:b/>
          <w:sz w:val="40"/>
          <w:u w:val="single"/>
        </w:rPr>
        <w:t>TDTMS</w:t>
      </w:r>
    </w:p>
    <w:p w:rsidR="004D5FC5" w:rsidRPr="00CF41C2" w:rsidRDefault="004D5FC5" w:rsidP="00087A7F">
      <w:pPr>
        <w:pStyle w:val="NoSpacing"/>
        <w:rPr>
          <w:b/>
          <w:sz w:val="40"/>
          <w:u w:val="single"/>
        </w:rPr>
      </w:pPr>
      <w:r w:rsidRPr="00CF41C2">
        <w:rPr>
          <w:b/>
          <w:sz w:val="40"/>
          <w:u w:val="single"/>
        </w:rPr>
        <w:t xml:space="preserve">2020 Goals </w:t>
      </w:r>
    </w:p>
    <w:p w:rsidR="004D5FC5" w:rsidRPr="00087A7F" w:rsidRDefault="004D5FC5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Support Texas data transport improvement initiatives and continue joint efforts with other retail market working groups.</w:t>
      </w:r>
    </w:p>
    <w:p w:rsidR="00CF41C2" w:rsidRPr="00087A7F" w:rsidRDefault="00CF41C2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Establish data/reporting requirements for ERCOT to assist TDTMS in ongoing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analysis. (Possible SCR)</w:t>
      </w:r>
    </w:p>
    <w:p w:rsidR="00A611A4" w:rsidRPr="00087A7F" w:rsidRDefault="004D5FC5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Support initiatives related to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system</w:t>
      </w:r>
      <w:r w:rsidR="00A611A4" w:rsidRPr="00087A7F">
        <w:rPr>
          <w:color w:val="000000" w:themeColor="text1"/>
        </w:rPr>
        <w:t>:</w:t>
      </w:r>
    </w:p>
    <w:p w:rsidR="00A611A4" w:rsidRPr="00087A7F" w:rsidRDefault="00A611A4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Identify process improvements based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</w:t>
      </w:r>
    </w:p>
    <w:p w:rsidR="00A611A4" w:rsidRPr="00087A7F" w:rsidRDefault="00A611A4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Prioritize e</w:t>
      </w:r>
      <w:r w:rsidR="004D5FC5" w:rsidRPr="00087A7F">
        <w:rPr>
          <w:color w:val="000000" w:themeColor="text1"/>
        </w:rPr>
        <w:t>nhancements</w:t>
      </w:r>
      <w:r w:rsidRPr="00087A7F">
        <w:rPr>
          <w:color w:val="000000" w:themeColor="text1"/>
        </w:rPr>
        <w:t xml:space="preserve"> utilizing supporting data from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</w:t>
      </w:r>
    </w:p>
    <w:p w:rsidR="00CF41C2" w:rsidRPr="00087A7F" w:rsidRDefault="00CF41C2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Development of SCR for future upgrade</w:t>
      </w:r>
    </w:p>
    <w:p w:rsidR="004D5FC5" w:rsidRPr="00087A7F" w:rsidRDefault="00CF41C2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Update documentation</w:t>
      </w:r>
    </w:p>
    <w:p w:rsidR="00CF41C2" w:rsidRPr="00087A7F" w:rsidRDefault="00CF41C2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IAG/IAL</w:t>
      </w:r>
    </w:p>
    <w:p w:rsidR="00CF41C2" w:rsidRPr="00087A7F" w:rsidRDefault="00CF41C2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Continue review of IAG/IAL market statistics</w:t>
      </w:r>
    </w:p>
    <w:p w:rsidR="00CF41C2" w:rsidRPr="00087A7F" w:rsidRDefault="00CF41C2" w:rsidP="00087A7F">
      <w:pPr>
        <w:pStyle w:val="NoSpacing"/>
        <w:numPr>
          <w:ilvl w:val="1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Review Retail Market Guide 7.3</w:t>
      </w:r>
    </w:p>
    <w:p w:rsidR="004D5FC5" w:rsidRPr="00087A7F" w:rsidRDefault="004D5FC5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Perform annual review of the Retail Market Services Service Level Agreement (SLA) and work with ERCOT to evaluate and implement any potential changes, as needed.</w:t>
      </w:r>
    </w:p>
    <w:p w:rsidR="004D5FC5" w:rsidRPr="00087A7F" w:rsidRDefault="004D5FC5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Review the quarterly ERCOT Retail Market Performance Measures.</w:t>
      </w:r>
    </w:p>
    <w:p w:rsidR="004D5FC5" w:rsidRPr="00087A7F" w:rsidRDefault="004D5FC5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Support ERCOT resolution efforts in addressing each outage and/or degradation of service</w:t>
      </w:r>
    </w:p>
    <w:p w:rsidR="00CF41C2" w:rsidRDefault="00CF41C2" w:rsidP="00087A7F">
      <w:pPr>
        <w:pStyle w:val="NoSpacing"/>
        <w:numPr>
          <w:ilvl w:val="0"/>
          <w:numId w:val="26"/>
        </w:numPr>
        <w:rPr>
          <w:color w:val="000000" w:themeColor="text1"/>
        </w:rPr>
      </w:pPr>
      <w:r w:rsidRPr="00087A7F">
        <w:rPr>
          <w:color w:val="000000" w:themeColor="text1"/>
        </w:rPr>
        <w:t>Review of Market Data Transparency Service Level Agreement (SLA)</w:t>
      </w:r>
    </w:p>
    <w:p w:rsidR="00087A7F" w:rsidRPr="00087A7F" w:rsidRDefault="00087A7F" w:rsidP="00087A7F">
      <w:pPr>
        <w:pStyle w:val="NoSpacing"/>
        <w:ind w:left="720"/>
        <w:rPr>
          <w:color w:val="000000" w:themeColor="text1"/>
        </w:rPr>
      </w:pPr>
    </w:p>
    <w:p w:rsidR="00637F5C" w:rsidRPr="00022185" w:rsidRDefault="00637F5C" w:rsidP="00087A7F">
      <w:pPr>
        <w:rPr>
          <w:b/>
          <w:sz w:val="40"/>
          <w:u w:val="single"/>
        </w:rPr>
      </w:pPr>
      <w:r w:rsidRPr="00022185">
        <w:rPr>
          <w:b/>
          <w:sz w:val="40"/>
          <w:u w:val="single"/>
        </w:rPr>
        <w:t>201</w:t>
      </w:r>
      <w:r w:rsidR="004D5FC5">
        <w:rPr>
          <w:b/>
          <w:sz w:val="40"/>
          <w:u w:val="single"/>
        </w:rPr>
        <w:t>9</w:t>
      </w:r>
      <w:r w:rsidRPr="00022185">
        <w:rPr>
          <w:b/>
          <w:sz w:val="40"/>
          <w:u w:val="single"/>
        </w:rPr>
        <w:t xml:space="preserve"> </w:t>
      </w:r>
      <w:r w:rsidR="000C2CC3">
        <w:rPr>
          <w:b/>
          <w:sz w:val="40"/>
          <w:u w:val="single"/>
        </w:rPr>
        <w:t>Acc</w:t>
      </w:r>
      <w:bookmarkStart w:id="0" w:name="_GoBack"/>
      <w:bookmarkEnd w:id="0"/>
      <w:r w:rsidR="000C2CC3">
        <w:rPr>
          <w:b/>
          <w:sz w:val="40"/>
          <w:u w:val="single"/>
        </w:rPr>
        <w:t>omplishments</w:t>
      </w:r>
    </w:p>
    <w:p w:rsidR="00CF41C2" w:rsidRPr="00087A7F" w:rsidRDefault="00CF41C2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bCs/>
          <w:color w:val="000000" w:themeColor="text1"/>
        </w:rPr>
        <w:t xml:space="preserve">Performed </w:t>
      </w:r>
      <w:proofErr w:type="spellStart"/>
      <w:r w:rsidRPr="00087A7F">
        <w:rPr>
          <w:bCs/>
          <w:color w:val="000000" w:themeColor="text1"/>
        </w:rPr>
        <w:t>MarkeTrak</w:t>
      </w:r>
      <w:proofErr w:type="spellEnd"/>
      <w:r w:rsidRPr="00087A7F">
        <w:rPr>
          <w:bCs/>
          <w:color w:val="000000" w:themeColor="text1"/>
        </w:rPr>
        <w:t xml:space="preserve"> Sub type Analysis</w:t>
      </w:r>
      <w:r w:rsidR="000C2CC3" w:rsidRPr="00087A7F">
        <w:rPr>
          <w:bCs/>
          <w:color w:val="000000" w:themeColor="text1"/>
        </w:rPr>
        <w:t>:</w:t>
      </w:r>
    </w:p>
    <w:p w:rsidR="000C2CC3" w:rsidRPr="00087A7F" w:rsidRDefault="000C2CC3" w:rsidP="00087A7F">
      <w:pPr>
        <w:pStyle w:val="NoSpacing"/>
        <w:numPr>
          <w:ilvl w:val="2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Established a biannual review of overall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</w:t>
      </w:r>
      <w:proofErr w:type="spellStart"/>
      <w:r w:rsidRPr="00087A7F">
        <w:rPr>
          <w:color w:val="000000" w:themeColor="text1"/>
        </w:rPr>
        <w:t>SubTypes</w:t>
      </w:r>
      <w:proofErr w:type="spellEnd"/>
    </w:p>
    <w:p w:rsidR="000C2CC3" w:rsidRPr="00087A7F" w:rsidRDefault="000C2CC3" w:rsidP="00087A7F">
      <w:pPr>
        <w:pStyle w:val="NoSpacing"/>
        <w:numPr>
          <w:ilvl w:val="2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Detailed monthly market analysis: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bCs/>
          <w:color w:val="000000" w:themeColor="text1"/>
        </w:rPr>
        <w:t>IAG/IAL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bCs/>
          <w:color w:val="000000" w:themeColor="text1"/>
        </w:rPr>
        <w:t>Rescission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bCs/>
          <w:color w:val="000000" w:themeColor="text1"/>
        </w:rPr>
        <w:t>Usage and Billing Missing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Usage and Billing Disputes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Switch Holds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Missing Enrollment Transactions</w:t>
      </w:r>
    </w:p>
    <w:p w:rsidR="000C2CC3" w:rsidRPr="00087A7F" w:rsidRDefault="000C2CC3" w:rsidP="00087A7F">
      <w:pPr>
        <w:pStyle w:val="NoSpacing"/>
        <w:numPr>
          <w:ilvl w:val="3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AMS LSE Dispute</w:t>
      </w:r>
    </w:p>
    <w:p w:rsidR="000C2CC3" w:rsidRPr="00087A7F" w:rsidRDefault="000C2CC3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Based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 </w:t>
      </w:r>
      <w:r w:rsidR="00C27CE9" w:rsidRPr="00087A7F">
        <w:rPr>
          <w:color w:val="000000" w:themeColor="text1"/>
        </w:rPr>
        <w:t>collaborated with RMTTF: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Recommended IAS/IAL Training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Identified areas of improvement for training possibilities/gaps</w:t>
      </w:r>
    </w:p>
    <w:p w:rsidR="00BC33B9" w:rsidRPr="00087A7F" w:rsidRDefault="000C2CC3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Created a</w:t>
      </w:r>
      <w:r w:rsidR="00C70FD8" w:rsidRPr="00087A7F">
        <w:rPr>
          <w:color w:val="000000" w:themeColor="text1"/>
        </w:rPr>
        <w:t xml:space="preserve"> </w:t>
      </w:r>
      <w:proofErr w:type="spellStart"/>
      <w:r w:rsidR="00C70FD8" w:rsidRPr="00087A7F">
        <w:rPr>
          <w:color w:val="000000" w:themeColor="text1"/>
        </w:rPr>
        <w:t>MarkeTrak</w:t>
      </w:r>
      <w:proofErr w:type="spellEnd"/>
      <w:r w:rsidR="00C70FD8" w:rsidRPr="00087A7F">
        <w:rPr>
          <w:color w:val="000000" w:themeColor="text1"/>
        </w:rPr>
        <w:t xml:space="preserve"> system enhancement</w:t>
      </w:r>
      <w:r w:rsidRPr="00087A7F">
        <w:rPr>
          <w:color w:val="000000" w:themeColor="text1"/>
        </w:rPr>
        <w:t xml:space="preserve"> matrix</w:t>
      </w:r>
      <w:r w:rsidR="0095114C" w:rsidRPr="00087A7F">
        <w:rPr>
          <w:color w:val="000000" w:themeColor="text1"/>
        </w:rPr>
        <w:t xml:space="preserve"> </w:t>
      </w:r>
    </w:p>
    <w:p w:rsidR="00C27CE9" w:rsidRPr="00087A7F" w:rsidRDefault="00C27CE9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Supported ERCOT projects: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SSL Update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NAESB 1.2 Upgrade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EDI Gateway Upgrade</w:t>
      </w:r>
    </w:p>
    <w:p w:rsidR="009D7D5C" w:rsidRPr="00087A7F" w:rsidRDefault="00C70FD8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Completed </w:t>
      </w:r>
      <w:r w:rsidR="009D7D5C" w:rsidRPr="00087A7F">
        <w:rPr>
          <w:color w:val="000000" w:themeColor="text1"/>
        </w:rPr>
        <w:t xml:space="preserve">the </w:t>
      </w:r>
      <w:r w:rsidRPr="00087A7F">
        <w:rPr>
          <w:color w:val="000000" w:themeColor="text1"/>
        </w:rPr>
        <w:t xml:space="preserve">annual review of </w:t>
      </w:r>
      <w:r w:rsidR="009D7D5C" w:rsidRPr="00087A7F">
        <w:rPr>
          <w:color w:val="000000" w:themeColor="text1"/>
        </w:rPr>
        <w:t>the 20</w:t>
      </w:r>
      <w:r w:rsidR="000C2CC3" w:rsidRPr="00087A7F">
        <w:rPr>
          <w:color w:val="000000" w:themeColor="text1"/>
        </w:rPr>
        <w:t>20</w:t>
      </w:r>
      <w:r w:rsidR="009D7D5C" w:rsidRPr="00087A7F">
        <w:rPr>
          <w:color w:val="000000" w:themeColor="text1"/>
        </w:rPr>
        <w:t xml:space="preserve"> Retail Market Services SLA for endorsement to RMS</w:t>
      </w:r>
    </w:p>
    <w:p w:rsidR="000C2CC3" w:rsidRPr="00087A7F" w:rsidRDefault="000C2CC3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Reviewed quarterly Performance Measures for 2019 </w:t>
      </w:r>
    </w:p>
    <w:p w:rsidR="000C2CC3" w:rsidRPr="00087A7F" w:rsidRDefault="000C2CC3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Reviewed and monitored monthly IT retail incident and service availability </w:t>
      </w:r>
    </w:p>
    <w:p w:rsidR="000C2CC3" w:rsidRPr="00087A7F" w:rsidRDefault="000C2CC3" w:rsidP="00087A7F">
      <w:pPr>
        <w:pStyle w:val="NoSpacing"/>
        <w:numPr>
          <w:ilvl w:val="0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 xml:space="preserve">Reviewed all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supporting documentation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Information landing page on ERCOT.com</w:t>
      </w:r>
      <w:r w:rsidR="00C27CE9" w:rsidRPr="00087A7F">
        <w:rPr>
          <w:color w:val="000000" w:themeColor="text1"/>
        </w:rPr>
        <w:t>:</w:t>
      </w:r>
    </w:p>
    <w:p w:rsidR="00C27CE9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Began versioning documents</w:t>
      </w:r>
    </w:p>
    <w:p w:rsidR="000C2CC3" w:rsidRPr="00087A7F" w:rsidRDefault="00C27CE9" w:rsidP="00087A7F">
      <w:pPr>
        <w:pStyle w:val="NoSpacing"/>
        <w:numPr>
          <w:ilvl w:val="1"/>
          <w:numId w:val="27"/>
        </w:numPr>
        <w:rPr>
          <w:color w:val="000000" w:themeColor="text1"/>
        </w:rPr>
      </w:pPr>
      <w:r w:rsidRPr="00087A7F">
        <w:rPr>
          <w:color w:val="000000" w:themeColor="text1"/>
        </w:rPr>
        <w:t>Recommended removal of old outdated materials</w:t>
      </w:r>
    </w:p>
    <w:p w:rsidR="000C2CC3" w:rsidRPr="00BC33B9" w:rsidRDefault="000C2CC3" w:rsidP="00C27CE9">
      <w:pPr>
        <w:pStyle w:val="NoSpacing"/>
        <w:ind w:left="1080"/>
        <w:rPr>
          <w:color w:val="FF0000"/>
        </w:rPr>
      </w:pPr>
    </w:p>
    <w:p w:rsidR="00A95E96" w:rsidRDefault="00A95E96" w:rsidP="00A95E96">
      <w:pPr>
        <w:pStyle w:val="NoSpacing"/>
        <w:jc w:val="center"/>
        <w:rPr>
          <w:b/>
          <w:sz w:val="40"/>
          <w:u w:val="single"/>
        </w:rPr>
      </w:pPr>
    </w:p>
    <w:sectPr w:rsidR="00A95E9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C1978"/>
    <w:multiLevelType w:val="hybridMultilevel"/>
    <w:tmpl w:val="79AC2D7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8D48D3"/>
    <w:multiLevelType w:val="hybridMultilevel"/>
    <w:tmpl w:val="F5E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86E9F"/>
    <w:multiLevelType w:val="hybridMultilevel"/>
    <w:tmpl w:val="47B8B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7673D"/>
    <w:multiLevelType w:val="hybridMultilevel"/>
    <w:tmpl w:val="ACC2F966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10BE"/>
    <w:multiLevelType w:val="hybridMultilevel"/>
    <w:tmpl w:val="F9E2F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206C3"/>
    <w:multiLevelType w:val="hybridMultilevel"/>
    <w:tmpl w:val="9FF26D90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81969"/>
    <w:multiLevelType w:val="hybridMultilevel"/>
    <w:tmpl w:val="1EB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8726D"/>
    <w:multiLevelType w:val="hybridMultilevel"/>
    <w:tmpl w:val="35CA01E4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3"/>
  </w:num>
  <w:num w:numId="5">
    <w:abstractNumId w:val="24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9"/>
  </w:num>
  <w:num w:numId="11">
    <w:abstractNumId w:val="5"/>
  </w:num>
  <w:num w:numId="12">
    <w:abstractNumId w:val="14"/>
  </w:num>
  <w:num w:numId="13">
    <w:abstractNumId w:val="3"/>
  </w:num>
  <w:num w:numId="14">
    <w:abstractNumId w:val="21"/>
  </w:num>
  <w:num w:numId="15">
    <w:abstractNumId w:val="22"/>
  </w:num>
  <w:num w:numId="16">
    <w:abstractNumId w:val="8"/>
  </w:num>
  <w:num w:numId="17">
    <w:abstractNumId w:val="6"/>
  </w:num>
  <w:num w:numId="18">
    <w:abstractNumId w:val="1"/>
  </w:num>
  <w:num w:numId="19">
    <w:abstractNumId w:val="25"/>
  </w:num>
  <w:num w:numId="20">
    <w:abstractNumId w:val="18"/>
  </w:num>
  <w:num w:numId="21">
    <w:abstractNumId w:val="26"/>
  </w:num>
  <w:num w:numId="22">
    <w:abstractNumId w:val="16"/>
  </w:num>
  <w:num w:numId="23">
    <w:abstractNumId w:val="2"/>
  </w:num>
  <w:num w:numId="24">
    <w:abstractNumId w:val="9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2185"/>
    <w:rsid w:val="00087A7F"/>
    <w:rsid w:val="000C2CC3"/>
    <w:rsid w:val="00110EA2"/>
    <w:rsid w:val="001E1FBF"/>
    <w:rsid w:val="002E4AA8"/>
    <w:rsid w:val="0032714F"/>
    <w:rsid w:val="00387FDB"/>
    <w:rsid w:val="003B2CDB"/>
    <w:rsid w:val="00402166"/>
    <w:rsid w:val="004D5FC5"/>
    <w:rsid w:val="004F3B6C"/>
    <w:rsid w:val="00553D72"/>
    <w:rsid w:val="005A25C3"/>
    <w:rsid w:val="00637F5C"/>
    <w:rsid w:val="00653F95"/>
    <w:rsid w:val="00707132"/>
    <w:rsid w:val="007F3FC1"/>
    <w:rsid w:val="008F4DC4"/>
    <w:rsid w:val="0095114C"/>
    <w:rsid w:val="009D7D5C"/>
    <w:rsid w:val="00A01863"/>
    <w:rsid w:val="00A43FBD"/>
    <w:rsid w:val="00A611A4"/>
    <w:rsid w:val="00A95E96"/>
    <w:rsid w:val="00AB4932"/>
    <w:rsid w:val="00B66384"/>
    <w:rsid w:val="00BC33B9"/>
    <w:rsid w:val="00C27CE9"/>
    <w:rsid w:val="00C70FD8"/>
    <w:rsid w:val="00CD26E3"/>
    <w:rsid w:val="00CD7EFB"/>
    <w:rsid w:val="00CF41C2"/>
    <w:rsid w:val="00D021DD"/>
    <w:rsid w:val="00D66857"/>
    <w:rsid w:val="00D848CA"/>
    <w:rsid w:val="00DE49C2"/>
    <w:rsid w:val="00E522FE"/>
    <w:rsid w:val="00E65CE9"/>
    <w:rsid w:val="00EC7CD0"/>
    <w:rsid w:val="00F02BDF"/>
    <w:rsid w:val="00F2039B"/>
    <w:rsid w:val="00F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E73C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50EF78-534C-412E-9030-E38F7CD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Kyle Patrick</cp:lastModifiedBy>
  <cp:revision>2</cp:revision>
  <dcterms:created xsi:type="dcterms:W3CDTF">2020-02-10T16:49:00Z</dcterms:created>
  <dcterms:modified xsi:type="dcterms:W3CDTF">2020-02-10T16:49:00Z</dcterms:modified>
</cp:coreProperties>
</file>