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037433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D0323F" w:rsidRPr="00D0323F">
                <w:rPr>
                  <w:rStyle w:val="Hyperlink"/>
                </w:rPr>
                <w:t>963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1956DB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Base Point Deviation Settlement and Deployment Performance Metrics for Energy Storage Resources (Combo Model)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037433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January 22,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D0323F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891E6C">
              <w:rPr>
                <w:rFonts w:ascii="Arial" w:hAnsi="Arial" w:cs="Arial"/>
              </w:rPr>
              <w:t>Between $150k and $200k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Pr="00511748" w:rsidRDefault="0026620F" w:rsidP="00D0323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D0323F">
              <w:rPr>
                <w:rFonts w:cs="Arial"/>
              </w:rPr>
              <w:t>8</w:t>
            </w:r>
            <w:r w:rsidRPr="0026620F">
              <w:rPr>
                <w:rFonts w:cs="Arial"/>
              </w:rPr>
              <w:t xml:space="preserve"> to </w:t>
            </w:r>
            <w:r w:rsidR="00D0323F">
              <w:rPr>
                <w:rFonts w:cs="Arial"/>
              </w:rPr>
              <w:t>12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29371B" w:rsidRDefault="00994D52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29371B" w:rsidRPr="0029371B">
              <w:t xml:space="preserve">Labor: </w:t>
            </w:r>
            <w:r w:rsidR="001956DB">
              <w:t>10</w:t>
            </w:r>
            <w:r w:rsidR="0029371B" w:rsidRPr="0029371B">
              <w:t>0% ERCOT; 0% Vendor</w:t>
            </w:r>
          </w:p>
          <w:p w:rsidR="0029371B" w:rsidRDefault="0029371B" w:rsidP="002D6CAB">
            <w:pPr>
              <w:pStyle w:val="NormalArial"/>
            </w:pPr>
          </w:p>
          <w:p w:rsidR="00D53917" w:rsidRPr="00FE71C0" w:rsidRDefault="0029371B" w:rsidP="002D6CAB">
            <w:pPr>
              <w:pStyle w:val="NormalArial"/>
              <w:rPr>
                <w:sz w:val="22"/>
                <w:szCs w:val="22"/>
              </w:rPr>
            </w:pPr>
            <w:r w:rsidRPr="0029371B">
              <w:t>Ongoing Requirements: No impact</w:t>
            </w:r>
            <w:r w:rsidR="00505C1A">
              <w:t>s</w:t>
            </w:r>
            <w:r w:rsidRPr="0029371B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D0323F" w:rsidRPr="00891E6C" w:rsidRDefault="00D0323F" w:rsidP="00D0323F">
            <w:pPr>
              <w:pStyle w:val="NormalArial"/>
              <w:numPr>
                <w:ilvl w:val="0"/>
                <w:numId w:val="7"/>
              </w:numPr>
            </w:pPr>
            <w:r w:rsidRPr="00891E6C">
              <w:t>Data and Information Products (DAIP)   31%</w:t>
            </w:r>
          </w:p>
          <w:p w:rsidR="00D0323F" w:rsidRPr="00891E6C" w:rsidRDefault="00D0323F" w:rsidP="00D0323F">
            <w:pPr>
              <w:pStyle w:val="NormalArial"/>
              <w:numPr>
                <w:ilvl w:val="0"/>
                <w:numId w:val="7"/>
              </w:numPr>
            </w:pPr>
            <w:r w:rsidRPr="00891E6C">
              <w:t>Market Settlements (S&amp;B)                      27%</w:t>
            </w:r>
          </w:p>
          <w:p w:rsidR="00D0323F" w:rsidRPr="00891E6C" w:rsidRDefault="00D0323F" w:rsidP="00D0323F">
            <w:pPr>
              <w:pStyle w:val="NormalArial"/>
              <w:numPr>
                <w:ilvl w:val="0"/>
                <w:numId w:val="7"/>
              </w:numPr>
            </w:pPr>
            <w:r w:rsidRPr="00891E6C">
              <w:t>Energy Management System (EMS)      18%</w:t>
            </w:r>
          </w:p>
          <w:p w:rsidR="00D0323F" w:rsidRPr="00891E6C" w:rsidRDefault="00D0323F" w:rsidP="00D0323F">
            <w:pPr>
              <w:pStyle w:val="NormalArial"/>
              <w:numPr>
                <w:ilvl w:val="0"/>
                <w:numId w:val="7"/>
              </w:numPr>
            </w:pPr>
            <w:r w:rsidRPr="00891E6C">
              <w:t>BI &amp; Data Analytics                                 13%</w:t>
            </w:r>
          </w:p>
          <w:p w:rsidR="00D0323F" w:rsidRPr="00891E6C" w:rsidRDefault="00D0323F" w:rsidP="00D0323F">
            <w:pPr>
              <w:pStyle w:val="NormalArial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91E6C">
              <w:t>Integration                                               10%</w:t>
            </w:r>
          </w:p>
          <w:p w:rsidR="00EF3E50" w:rsidRPr="00FE71C0" w:rsidRDefault="00EF3E50" w:rsidP="00D0323F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1956DB" w:rsidP="00D54DC7">
            <w:pPr>
              <w:pStyle w:val="NormalArial"/>
              <w:rPr>
                <w:sz w:val="22"/>
                <w:szCs w:val="22"/>
              </w:rPr>
            </w:pPr>
            <w:r w:rsidRPr="00891E6C">
              <w:rPr>
                <w:rFonts w:cs="Arial"/>
              </w:rPr>
              <w:t>ERCOT will update its business processes to implement this NPRR.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956DB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891E6C">
              <w:rPr>
                <w:b w:val="0"/>
              </w:rPr>
              <w:t>ERCOT will update grid operations and practices to implement this NPRR.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030AA6">
            <w:pPr>
              <w:pStyle w:val="Header"/>
              <w:jc w:val="center"/>
            </w:pPr>
            <w:r w:rsidRPr="00030AA6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BE45FF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A77" w:rsidRDefault="003F5A77">
      <w:r>
        <w:separator/>
      </w:r>
    </w:p>
  </w:endnote>
  <w:endnote w:type="continuationSeparator" w:id="0">
    <w:p w:rsidR="003F5A77" w:rsidRDefault="003F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037433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963NPRR-14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3D66CF">
      <w:rPr>
        <w:rFonts w:ascii="Arial" w:hAnsi="Arial"/>
        <w:noProof/>
        <w:sz w:val="18"/>
      </w:rPr>
      <w:t xml:space="preserve">Revised Impact Analysis </w:t>
    </w:r>
    <w:r>
      <w:rPr>
        <w:rFonts w:ascii="Arial" w:hAnsi="Arial"/>
        <w:noProof/>
        <w:sz w:val="18"/>
      </w:rPr>
      <w:t>012220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A77" w:rsidRDefault="003F5A77">
      <w:r>
        <w:separator/>
      </w:r>
    </w:p>
  </w:footnote>
  <w:footnote w:type="continuationSeparator" w:id="0">
    <w:p w:rsidR="003F5A77" w:rsidRDefault="003F5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BE45FF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0750E0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82BE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846B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EED8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7277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886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60E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E62F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C838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442DF2"/>
    <w:multiLevelType w:val="hybridMultilevel"/>
    <w:tmpl w:val="9BBC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63D57"/>
    <w:multiLevelType w:val="multilevel"/>
    <w:tmpl w:val="D83E542A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9E0E2E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E6C6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54E9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8AF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185D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8478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8AF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583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AC8A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30AA6"/>
    <w:rsid w:val="00037433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956DB"/>
    <w:rsid w:val="001A1BE0"/>
    <w:rsid w:val="001A2CE6"/>
    <w:rsid w:val="001A32A3"/>
    <w:rsid w:val="001B2694"/>
    <w:rsid w:val="001B48AF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9371B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6F68"/>
    <w:rsid w:val="003971D4"/>
    <w:rsid w:val="003A3246"/>
    <w:rsid w:val="003A6591"/>
    <w:rsid w:val="003B3863"/>
    <w:rsid w:val="003C14AB"/>
    <w:rsid w:val="003C51CF"/>
    <w:rsid w:val="003C7219"/>
    <w:rsid w:val="003D29A2"/>
    <w:rsid w:val="003D66CF"/>
    <w:rsid w:val="003E7403"/>
    <w:rsid w:val="003E74C8"/>
    <w:rsid w:val="003F39B9"/>
    <w:rsid w:val="003F5A77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2AA2"/>
    <w:rsid w:val="004C389D"/>
    <w:rsid w:val="004C3BCE"/>
    <w:rsid w:val="004C47CB"/>
    <w:rsid w:val="004D252E"/>
    <w:rsid w:val="004E7041"/>
    <w:rsid w:val="00504C70"/>
    <w:rsid w:val="005059AD"/>
    <w:rsid w:val="00505C1A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1DE0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94D52"/>
    <w:rsid w:val="009A3203"/>
    <w:rsid w:val="009B0326"/>
    <w:rsid w:val="009B2CF9"/>
    <w:rsid w:val="009D0F80"/>
    <w:rsid w:val="009D39FB"/>
    <w:rsid w:val="009D4F91"/>
    <w:rsid w:val="009E0E28"/>
    <w:rsid w:val="009E2B6C"/>
    <w:rsid w:val="009E329D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45FF"/>
    <w:rsid w:val="00BE76F0"/>
    <w:rsid w:val="00BF0BCD"/>
    <w:rsid w:val="00BF3CBB"/>
    <w:rsid w:val="00BF4C29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323F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A3B1F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EF3E50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0867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C7611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961D9B23-65C0-4B23-BBA9-A2E503D9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030AA6"/>
    <w:rPr>
      <w:sz w:val="24"/>
      <w:szCs w:val="24"/>
    </w:rPr>
  </w:style>
  <w:style w:type="character" w:customStyle="1" w:styleId="HeaderChar">
    <w:name w:val="Header Char"/>
    <w:link w:val="Header"/>
    <w:rsid w:val="001956DB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96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085A94-5EF8-46A2-983D-2037726C9B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1425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 Market Rules</cp:lastModifiedBy>
  <cp:revision>5</cp:revision>
  <cp:lastPrinted>2007-01-12T13:31:00Z</cp:lastPrinted>
  <dcterms:created xsi:type="dcterms:W3CDTF">2019-09-09T19:42:00Z</dcterms:created>
  <dcterms:modified xsi:type="dcterms:W3CDTF">2020-01-22T19:34:00Z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