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B712E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F94D2C" w:rsidRPr="00F94D2C">
                <w:rPr>
                  <w:rStyle w:val="Hyperlink"/>
                </w:rPr>
                <w:t>974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F94D2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94D2C">
              <w:rPr>
                <w:szCs w:val="23"/>
              </w:rPr>
              <w:t>Capacity Insufficiency Operating Condition Notice (OCN) Transparency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0248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bookmarkStart w:id="0" w:name="_GoBack"/>
            <w:r>
              <w:rPr>
                <w:rFonts w:ascii="Arial" w:hAnsi="Arial" w:cs="Arial"/>
                <w:szCs w:val="22"/>
              </w:rPr>
              <w:t>January 8, 2020</w:t>
            </w:r>
            <w:bookmarkEnd w:id="0"/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081192" w:rsidRPr="00081192" w:rsidRDefault="001624AC" w:rsidP="0008119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$5</w:t>
            </w:r>
            <w:r w:rsidR="00081192" w:rsidRPr="00081192">
              <w:rPr>
                <w:rFonts w:ascii="Arial" w:hAnsi="Arial" w:cs="Arial"/>
              </w:rPr>
              <w:t>0k and $80k</w:t>
            </w:r>
          </w:p>
          <w:p w:rsidR="00124420" w:rsidRPr="002D68CF" w:rsidRDefault="00081192" w:rsidP="0008119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81192">
              <w:rPr>
                <w:rFonts w:ascii="Arial" w:hAnsi="Arial" w:cs="Arial"/>
              </w:rPr>
              <w:t>See Comments.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1624AC">
            <w:pPr>
              <w:pStyle w:val="NormalArial"/>
              <w:rPr>
                <w:sz w:val="22"/>
                <w:szCs w:val="22"/>
              </w:rPr>
            </w:pPr>
            <w:r w:rsidRPr="00081192">
              <w:rPr>
                <w:rFonts w:cs="Arial"/>
              </w:rPr>
              <w:t xml:space="preserve">Estimated project duration:  </w:t>
            </w:r>
            <w:r w:rsidR="001624AC">
              <w:rPr>
                <w:rFonts w:cs="Arial"/>
              </w:rPr>
              <w:t>5</w:t>
            </w:r>
            <w:r w:rsidRPr="00081192">
              <w:rPr>
                <w:rFonts w:cs="Arial"/>
              </w:rPr>
              <w:t xml:space="preserve"> to </w:t>
            </w:r>
            <w:r w:rsidR="001624AC">
              <w:rPr>
                <w:rFonts w:cs="Arial"/>
              </w:rPr>
              <w:t>7</w:t>
            </w:r>
            <w:r w:rsidRPr="00081192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94D2C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081192" w:rsidRDefault="00F94D2C" w:rsidP="00F94D2C">
            <w:pPr>
              <w:pStyle w:val="NormalArial"/>
              <w:numPr>
                <w:ilvl w:val="0"/>
                <w:numId w:val="7"/>
              </w:numPr>
            </w:pPr>
            <w:r w:rsidRPr="00081192">
              <w:t>Data and Information Products (DAIP)</w:t>
            </w:r>
            <w:r w:rsidR="00081192">
              <w:t xml:space="preserve">   62%</w:t>
            </w:r>
          </w:p>
          <w:p w:rsidR="00F94D2C" w:rsidRPr="00081192" w:rsidRDefault="00F94D2C" w:rsidP="00F94D2C">
            <w:pPr>
              <w:pStyle w:val="NormalArial"/>
              <w:numPr>
                <w:ilvl w:val="0"/>
                <w:numId w:val="7"/>
              </w:numPr>
            </w:pPr>
            <w:r w:rsidRPr="00081192">
              <w:t>Market Management Systems (MMS)</w:t>
            </w:r>
            <w:r w:rsidR="00081192">
              <w:t xml:space="preserve">    35%</w:t>
            </w:r>
          </w:p>
          <w:p w:rsidR="00F94D2C" w:rsidRPr="00081192" w:rsidRDefault="00F94D2C" w:rsidP="00F94D2C">
            <w:pPr>
              <w:pStyle w:val="NormalArial"/>
              <w:numPr>
                <w:ilvl w:val="0"/>
                <w:numId w:val="7"/>
              </w:numPr>
            </w:pPr>
            <w:r w:rsidRPr="00081192">
              <w:t>External Public</w:t>
            </w:r>
            <w:r w:rsidR="00081192">
              <w:t xml:space="preserve">                                          3%</w:t>
            </w:r>
          </w:p>
          <w:p w:rsidR="00F94D2C" w:rsidRPr="00FE71C0" w:rsidRDefault="00F94D2C" w:rsidP="00F94D2C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1624AC" w:rsidP="0088379F">
            <w:pPr>
              <w:pStyle w:val="NormalArial"/>
            </w:pPr>
            <w:r w:rsidRPr="001624AC">
              <w:t>ERCOT estimates that if NPRR974 and NPRR978, Alignment with Amendments to PUCT Substantive Rule 25.505, are implemented concurrently, a cost savings of 10% to 20% could be realized from project efficiencies.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0248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974NPRR-06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010820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5B712E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5B712E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4D3A0C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AE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E3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65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0A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905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6B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CA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C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5129C"/>
    <w:multiLevelType w:val="multilevel"/>
    <w:tmpl w:val="25220A2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D0F0D9F"/>
    <w:multiLevelType w:val="hybridMultilevel"/>
    <w:tmpl w:val="67C2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DE035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224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C49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983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8F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E0C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B26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E5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087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1192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5470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24AC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CCF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55380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B712E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248C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D2C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7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1441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2020-01-08T17:29:00Z</dcterms:created>
  <dcterms:modified xsi:type="dcterms:W3CDTF">2020-01-08T17:29:00Z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