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3B" w:rsidRPr="0070373B" w:rsidRDefault="0070373B" w:rsidP="0070373B">
      <w:pPr>
        <w:pStyle w:val="BodyText"/>
        <w:jc w:val="both"/>
        <w:rPr>
          <w:color w:val="44546A" w:themeColor="text2"/>
        </w:rPr>
      </w:pPr>
      <w:r w:rsidRPr="0070373B">
        <w:rPr>
          <w:color w:val="44546A" w:themeColor="text2"/>
        </w:rPr>
        <w:t xml:space="preserve">The existing and planned transmission system was not sufficient to serve the studied load of 5,372 MW in the Delaware Basin area.  </w:t>
      </w:r>
      <w:bookmarkStart w:id="0" w:name="_GoBack"/>
      <w:bookmarkEnd w:id="0"/>
      <w:r w:rsidRPr="0070373B">
        <w:rPr>
          <w:color w:val="44546A" w:themeColor="text2"/>
        </w:rPr>
        <w:t xml:space="preserve">In fact, the study case demonstrated voltage instability under N-0 conditions.  To identify the long lead time upgrades, which were the primary focus of the study, the reliability issues that would be expected to be addressed through local transmission upgrades were first identified through the steps described below.  </w:t>
      </w:r>
    </w:p>
    <w:p w:rsidR="0070373B" w:rsidRPr="0070373B" w:rsidRDefault="0070373B" w:rsidP="0070373B">
      <w:pPr>
        <w:pStyle w:val="Heading2"/>
        <w:numPr>
          <w:ilvl w:val="0"/>
          <w:numId w:val="0"/>
        </w:numPr>
        <w:rPr>
          <w:color w:val="44546A" w:themeColor="text2"/>
        </w:rPr>
      </w:pPr>
      <w:bookmarkStart w:id="1" w:name="_Toc26948693"/>
      <w:r w:rsidRPr="0070373B">
        <w:rPr>
          <w:color w:val="44546A" w:themeColor="text2"/>
        </w:rPr>
        <w:t>Step 1</w:t>
      </w:r>
      <w:bookmarkEnd w:id="1"/>
    </w:p>
    <w:p w:rsidR="0070373B" w:rsidRPr="0070373B" w:rsidRDefault="0070373B" w:rsidP="0070373B">
      <w:pPr>
        <w:pStyle w:val="BodyText"/>
        <w:jc w:val="both"/>
        <w:rPr>
          <w:color w:val="44546A" w:themeColor="text2"/>
        </w:rPr>
      </w:pPr>
      <w:r w:rsidRPr="0070373B">
        <w:rPr>
          <w:color w:val="44546A" w:themeColor="text2"/>
        </w:rPr>
        <w:t xml:space="preserve">With the higher-than-forecasted load (5,372 MW), power flow of the starting case was not solved even if solar generation in the Delaware Basin area (~1,160 MW) was assumed online. </w:t>
      </w:r>
      <w:r w:rsidR="00BB71B9">
        <w:rPr>
          <w:color w:val="44546A" w:themeColor="text2"/>
        </w:rPr>
        <w:t xml:space="preserve"> </w:t>
      </w:r>
      <w:r w:rsidRPr="0070373B">
        <w:rPr>
          <w:color w:val="44546A" w:themeColor="text2"/>
        </w:rPr>
        <w:t>The following updates were applied to just make the case solve under the N-0 condition:</w:t>
      </w:r>
    </w:p>
    <w:p w:rsidR="0070373B" w:rsidRPr="0070373B" w:rsidRDefault="0070373B" w:rsidP="0070373B">
      <w:pPr>
        <w:pStyle w:val="bulletlevel1"/>
        <w:tabs>
          <w:tab w:val="left" w:pos="576"/>
          <w:tab w:val="num" w:pos="1872"/>
        </w:tabs>
        <w:ind w:left="576" w:hanging="288"/>
        <w:rPr>
          <w:color w:val="44546A" w:themeColor="text2"/>
        </w:rPr>
      </w:pPr>
      <w:r w:rsidRPr="0070373B">
        <w:rPr>
          <w:color w:val="44546A" w:themeColor="text2"/>
        </w:rPr>
        <w:t xml:space="preserve">Tapped the new  345-kV Wolf station to the Odessa/Moss </w:t>
      </w:r>
      <w:r w:rsidR="00BB71B9" w:rsidRPr="0070373B">
        <w:rPr>
          <w:rFonts w:cs="Arial"/>
          <w:color w:val="44546A" w:themeColor="text2"/>
          <w:szCs w:val="18"/>
        </w:rPr>
        <w:t>-</w:t>
      </w:r>
      <w:r w:rsidRPr="0070373B">
        <w:rPr>
          <w:color w:val="44546A" w:themeColor="text2"/>
        </w:rPr>
        <w:t xml:space="preserve"> Riverton 345-kV double circuit lines, and add two transformers 345/138-kV transformers at Wolf station (TPIT 46094, Tier 3, Dec 2020)</w:t>
      </w:r>
    </w:p>
    <w:p w:rsidR="0070373B" w:rsidRPr="0070373B" w:rsidRDefault="0070373B" w:rsidP="0070373B">
      <w:pPr>
        <w:pStyle w:val="bulletlevel1"/>
        <w:tabs>
          <w:tab w:val="left" w:pos="576"/>
          <w:tab w:val="num" w:pos="1872"/>
        </w:tabs>
        <w:ind w:left="576" w:hanging="288"/>
        <w:rPr>
          <w:color w:val="44546A" w:themeColor="text2"/>
        </w:rPr>
      </w:pPr>
      <w:r w:rsidRPr="0070373B">
        <w:rPr>
          <w:color w:val="44546A" w:themeColor="text2"/>
        </w:rPr>
        <w:t xml:space="preserve">Added total 1,860 </w:t>
      </w:r>
      <w:proofErr w:type="spellStart"/>
      <w:r w:rsidRPr="0070373B">
        <w:rPr>
          <w:color w:val="44546A" w:themeColor="text2"/>
        </w:rPr>
        <w:t>Mvar</w:t>
      </w:r>
      <w:proofErr w:type="spellEnd"/>
      <w:r w:rsidRPr="0070373B">
        <w:rPr>
          <w:color w:val="44546A" w:themeColor="text2"/>
        </w:rPr>
        <w:t xml:space="preserve"> reactive devices</w:t>
      </w:r>
    </w:p>
    <w:p w:rsidR="0070373B" w:rsidRPr="0070373B" w:rsidRDefault="0070373B" w:rsidP="0070373B">
      <w:pPr>
        <w:pStyle w:val="BodyText"/>
        <w:jc w:val="both"/>
        <w:rPr>
          <w:color w:val="44546A" w:themeColor="text2"/>
        </w:rPr>
      </w:pPr>
      <w:r w:rsidRPr="0070373B">
        <w:rPr>
          <w:color w:val="44546A" w:themeColor="text2"/>
        </w:rPr>
        <w:t xml:space="preserve">Table 1 shows the locations and capacity of these 1,860 </w:t>
      </w:r>
      <w:proofErr w:type="spellStart"/>
      <w:r w:rsidRPr="0070373B">
        <w:rPr>
          <w:color w:val="44546A" w:themeColor="text2"/>
        </w:rPr>
        <w:t>Mvar</w:t>
      </w:r>
      <w:proofErr w:type="spellEnd"/>
      <w:r w:rsidRPr="0070373B">
        <w:rPr>
          <w:color w:val="44546A" w:themeColor="text2"/>
        </w:rPr>
        <w:t xml:space="preserve"> react</w:t>
      </w:r>
      <w:r w:rsidR="00BB71B9">
        <w:rPr>
          <w:color w:val="44546A" w:themeColor="text2"/>
        </w:rPr>
        <w:t xml:space="preserve">ive devices. </w:t>
      </w:r>
      <w:r w:rsidRPr="0070373B">
        <w:rPr>
          <w:color w:val="44546A" w:themeColor="text2"/>
        </w:rPr>
        <w:t xml:space="preserve"> As stated in the study methodology, the focus of this study is to identify long lead time transmission upgrades.  The reactive devices will need additional evaluation such as dynamic stability analysis to optimize the sizes, locations, and technology of reactive devices.  </w:t>
      </w:r>
    </w:p>
    <w:p w:rsidR="0070373B" w:rsidRPr="0070373B" w:rsidRDefault="0070373B" w:rsidP="0070373B">
      <w:pPr>
        <w:pStyle w:val="tablehead"/>
        <w:jc w:val="center"/>
        <w:rPr>
          <w:color w:val="44546A" w:themeColor="text2"/>
        </w:rPr>
      </w:pPr>
      <w:r w:rsidRPr="0070373B">
        <w:rPr>
          <w:color w:val="44546A" w:themeColor="text2"/>
        </w:rPr>
        <w:t xml:space="preserve"> </w:t>
      </w:r>
      <w:r>
        <w:rPr>
          <w:color w:val="44546A" w:themeColor="text2"/>
        </w:rPr>
        <w:t xml:space="preserve">Table </w:t>
      </w:r>
      <w:r w:rsidRPr="0070373B">
        <w:rPr>
          <w:color w:val="44546A" w:themeColor="text2"/>
        </w:rPr>
        <w:t xml:space="preserve">1 Locations and </w:t>
      </w:r>
      <w:r>
        <w:rPr>
          <w:color w:val="44546A" w:themeColor="text2"/>
        </w:rPr>
        <w:t>C</w:t>
      </w:r>
      <w:r w:rsidRPr="0070373B">
        <w:rPr>
          <w:color w:val="44546A" w:themeColor="text2"/>
        </w:rPr>
        <w:t xml:space="preserve">apacity of the </w:t>
      </w:r>
      <w:r>
        <w:rPr>
          <w:color w:val="44546A" w:themeColor="text2"/>
        </w:rPr>
        <w:t>Added R</w:t>
      </w:r>
      <w:r w:rsidRPr="0070373B">
        <w:rPr>
          <w:color w:val="44546A" w:themeColor="text2"/>
        </w:rPr>
        <w:t xml:space="preserve">eactive </w:t>
      </w:r>
      <w:r>
        <w:rPr>
          <w:color w:val="44546A" w:themeColor="text2"/>
        </w:rPr>
        <w:t>D</w:t>
      </w:r>
      <w:r w:rsidRPr="0070373B">
        <w:rPr>
          <w:color w:val="44546A" w:themeColor="text2"/>
        </w:rPr>
        <w:t>evices</w:t>
      </w:r>
    </w:p>
    <w:tbl>
      <w:tblPr>
        <w:tblStyle w:val="TableGrid"/>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217"/>
        <w:gridCol w:w="1347"/>
        <w:gridCol w:w="517"/>
        <w:gridCol w:w="1487"/>
      </w:tblGrid>
      <w:tr w:rsidR="0070373B" w:rsidRPr="0070373B" w:rsidTr="006C0ED7">
        <w:trPr>
          <w:trHeight w:val="377"/>
          <w:jc w:val="center"/>
        </w:trPr>
        <w:tc>
          <w:tcPr>
            <w:tcW w:w="0" w:type="auto"/>
          </w:tcPr>
          <w:p w:rsidR="0070373B" w:rsidRPr="0070373B" w:rsidRDefault="0070373B" w:rsidP="006C0ED7">
            <w:pPr>
              <w:pStyle w:val="table"/>
              <w:jc w:val="center"/>
              <w:rPr>
                <w:color w:val="44546A" w:themeColor="text2"/>
                <w:szCs w:val="18"/>
              </w:rPr>
            </w:pPr>
            <w:r w:rsidRPr="0070373B">
              <w:rPr>
                <w:bCs/>
                <w:color w:val="44546A" w:themeColor="text2"/>
                <w:szCs w:val="18"/>
              </w:rPr>
              <w:t xml:space="preserve">Bus Number </w:t>
            </w:r>
          </w:p>
        </w:tc>
        <w:tc>
          <w:tcPr>
            <w:tcW w:w="0" w:type="auto"/>
          </w:tcPr>
          <w:p w:rsidR="0070373B" w:rsidRPr="0070373B" w:rsidRDefault="0070373B" w:rsidP="006C0ED7">
            <w:pPr>
              <w:pStyle w:val="table"/>
              <w:jc w:val="center"/>
              <w:rPr>
                <w:color w:val="44546A" w:themeColor="text2"/>
                <w:szCs w:val="18"/>
              </w:rPr>
            </w:pPr>
            <w:r w:rsidRPr="0070373B">
              <w:rPr>
                <w:bCs/>
                <w:color w:val="44546A" w:themeColor="text2"/>
                <w:szCs w:val="18"/>
              </w:rPr>
              <w:t xml:space="preserve">Bus Name </w:t>
            </w:r>
          </w:p>
        </w:tc>
        <w:tc>
          <w:tcPr>
            <w:tcW w:w="0" w:type="auto"/>
          </w:tcPr>
          <w:p w:rsidR="0070373B" w:rsidRPr="0070373B" w:rsidRDefault="0070373B" w:rsidP="006C0ED7">
            <w:pPr>
              <w:pStyle w:val="table"/>
              <w:jc w:val="center"/>
              <w:rPr>
                <w:color w:val="44546A" w:themeColor="text2"/>
                <w:szCs w:val="18"/>
              </w:rPr>
            </w:pPr>
            <w:r w:rsidRPr="0070373B">
              <w:rPr>
                <w:bCs/>
                <w:color w:val="44546A" w:themeColor="text2"/>
                <w:szCs w:val="18"/>
              </w:rPr>
              <w:t xml:space="preserve">kV </w:t>
            </w:r>
          </w:p>
        </w:tc>
        <w:tc>
          <w:tcPr>
            <w:tcW w:w="0" w:type="auto"/>
          </w:tcPr>
          <w:p w:rsidR="0070373B" w:rsidRPr="0070373B" w:rsidRDefault="0070373B" w:rsidP="006C0ED7">
            <w:pPr>
              <w:pStyle w:val="table"/>
              <w:jc w:val="center"/>
              <w:rPr>
                <w:color w:val="44546A" w:themeColor="text2"/>
                <w:szCs w:val="18"/>
              </w:rPr>
            </w:pPr>
            <w:r w:rsidRPr="0070373B">
              <w:rPr>
                <w:bCs/>
                <w:color w:val="44546A" w:themeColor="text2"/>
                <w:szCs w:val="18"/>
              </w:rPr>
              <w:t>Capacity (</w:t>
            </w:r>
            <w:proofErr w:type="spellStart"/>
            <w:r w:rsidRPr="0070373B">
              <w:rPr>
                <w:bCs/>
                <w:color w:val="44546A" w:themeColor="text2"/>
                <w:szCs w:val="18"/>
              </w:rPr>
              <w:t>Mvar</w:t>
            </w:r>
            <w:proofErr w:type="spellEnd"/>
            <w:r w:rsidRPr="0070373B">
              <w:rPr>
                <w:bCs/>
                <w:color w:val="44546A" w:themeColor="text2"/>
                <w:szCs w:val="18"/>
              </w:rPr>
              <w:t xml:space="preserve">) </w:t>
            </w:r>
          </w:p>
        </w:tc>
      </w:tr>
      <w:tr w:rsidR="0070373B" w:rsidRPr="0070373B" w:rsidTr="006C0ED7">
        <w:trPr>
          <w:jc w:val="center"/>
        </w:trPr>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79650 </w:t>
            </w:r>
          </w:p>
        </w:tc>
        <w:tc>
          <w:tcPr>
            <w:tcW w:w="0" w:type="auto"/>
          </w:tcPr>
          <w:p w:rsidR="0070373B" w:rsidRPr="0070373B" w:rsidRDefault="0070373B" w:rsidP="006C0ED7">
            <w:pPr>
              <w:pStyle w:val="table"/>
              <w:jc w:val="center"/>
              <w:rPr>
                <w:color w:val="44546A" w:themeColor="text2"/>
                <w:szCs w:val="18"/>
              </w:rPr>
            </w:pPr>
            <w:proofErr w:type="spellStart"/>
            <w:r w:rsidRPr="0070373B">
              <w:rPr>
                <w:color w:val="44546A" w:themeColor="text2"/>
                <w:szCs w:val="18"/>
              </w:rPr>
              <w:t>Clearfork</w:t>
            </w:r>
            <w:proofErr w:type="spellEnd"/>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345</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300 </w:t>
            </w:r>
          </w:p>
        </w:tc>
      </w:tr>
      <w:tr w:rsidR="0070373B" w:rsidRPr="0070373B" w:rsidTr="006C0ED7">
        <w:trPr>
          <w:jc w:val="center"/>
        </w:trPr>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11084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Riverton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345</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300 </w:t>
            </w:r>
          </w:p>
        </w:tc>
      </w:tr>
      <w:tr w:rsidR="0070373B" w:rsidRPr="0070373B" w:rsidTr="006C0ED7">
        <w:trPr>
          <w:jc w:val="center"/>
        </w:trPr>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21013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Wolf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345</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300</w:t>
            </w:r>
          </w:p>
        </w:tc>
      </w:tr>
      <w:tr w:rsidR="0070373B" w:rsidRPr="0070373B" w:rsidTr="006C0ED7">
        <w:trPr>
          <w:jc w:val="center"/>
        </w:trPr>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38124</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Faulkner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138</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300 </w:t>
            </w:r>
          </w:p>
        </w:tc>
      </w:tr>
      <w:tr w:rsidR="0070373B" w:rsidRPr="0070373B" w:rsidTr="006C0ED7">
        <w:trPr>
          <w:jc w:val="center"/>
        </w:trPr>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38065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Barilla Draw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138</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300 </w:t>
            </w:r>
          </w:p>
        </w:tc>
      </w:tr>
      <w:tr w:rsidR="0070373B" w:rsidRPr="0070373B" w:rsidTr="006C0ED7">
        <w:trPr>
          <w:jc w:val="center"/>
        </w:trPr>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11078 </w:t>
            </w:r>
          </w:p>
        </w:tc>
        <w:tc>
          <w:tcPr>
            <w:tcW w:w="0" w:type="auto"/>
          </w:tcPr>
          <w:p w:rsidR="0070373B" w:rsidRPr="0070373B" w:rsidRDefault="0070373B" w:rsidP="006C0ED7">
            <w:pPr>
              <w:pStyle w:val="table"/>
              <w:jc w:val="center"/>
              <w:rPr>
                <w:color w:val="44546A" w:themeColor="text2"/>
                <w:szCs w:val="18"/>
              </w:rPr>
            </w:pPr>
            <w:proofErr w:type="spellStart"/>
            <w:r w:rsidRPr="0070373B">
              <w:rPr>
                <w:color w:val="44546A" w:themeColor="text2"/>
                <w:szCs w:val="18"/>
              </w:rPr>
              <w:t>Coalson</w:t>
            </w:r>
            <w:proofErr w:type="spellEnd"/>
            <w:r w:rsidRPr="0070373B">
              <w:rPr>
                <w:color w:val="44546A" w:themeColor="text2"/>
                <w:szCs w:val="18"/>
              </w:rPr>
              <w:t xml:space="preserve"> Draw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138</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250 </w:t>
            </w:r>
          </w:p>
        </w:tc>
      </w:tr>
      <w:tr w:rsidR="0070373B" w:rsidRPr="0070373B" w:rsidTr="006C0ED7">
        <w:trPr>
          <w:jc w:val="center"/>
        </w:trPr>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11090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Owl Hills </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138</w:t>
            </w:r>
          </w:p>
        </w:tc>
        <w:tc>
          <w:tcPr>
            <w:tcW w:w="0" w:type="auto"/>
          </w:tcPr>
          <w:p w:rsidR="0070373B" w:rsidRPr="0070373B" w:rsidRDefault="0070373B" w:rsidP="006C0ED7">
            <w:pPr>
              <w:pStyle w:val="table"/>
              <w:jc w:val="center"/>
              <w:rPr>
                <w:color w:val="44546A" w:themeColor="text2"/>
                <w:szCs w:val="18"/>
              </w:rPr>
            </w:pPr>
            <w:r w:rsidRPr="0070373B">
              <w:rPr>
                <w:color w:val="44546A" w:themeColor="text2"/>
                <w:szCs w:val="18"/>
              </w:rPr>
              <w:t xml:space="preserve">110 </w:t>
            </w:r>
          </w:p>
        </w:tc>
      </w:tr>
    </w:tbl>
    <w:p w:rsidR="0070373B" w:rsidRPr="0070373B" w:rsidRDefault="0070373B" w:rsidP="0070373B">
      <w:pPr>
        <w:pStyle w:val="BodyText"/>
        <w:jc w:val="both"/>
        <w:rPr>
          <w:color w:val="44546A" w:themeColor="text2"/>
        </w:rPr>
      </w:pPr>
    </w:p>
    <w:p w:rsidR="0070373B" w:rsidRPr="0070373B" w:rsidRDefault="0070373B" w:rsidP="0070373B">
      <w:pPr>
        <w:pStyle w:val="Heading2"/>
        <w:numPr>
          <w:ilvl w:val="0"/>
          <w:numId w:val="0"/>
        </w:numPr>
        <w:ind w:left="432" w:hanging="432"/>
        <w:rPr>
          <w:color w:val="44546A" w:themeColor="text2"/>
        </w:rPr>
      </w:pPr>
      <w:bookmarkStart w:id="2" w:name="_Toc26948694"/>
      <w:r w:rsidRPr="0070373B">
        <w:rPr>
          <w:color w:val="44546A" w:themeColor="text2"/>
        </w:rPr>
        <w:t>Step 2</w:t>
      </w:r>
      <w:bookmarkEnd w:id="2"/>
    </w:p>
    <w:p w:rsidR="0070373B" w:rsidRPr="0070373B" w:rsidRDefault="0070373B" w:rsidP="0070373B">
      <w:pPr>
        <w:pStyle w:val="BodyText"/>
        <w:jc w:val="both"/>
        <w:rPr>
          <w:color w:val="44546A" w:themeColor="text2"/>
        </w:rPr>
      </w:pPr>
      <w:r w:rsidRPr="0070373B">
        <w:rPr>
          <w:color w:val="44546A" w:themeColor="text2"/>
        </w:rPr>
        <w:t>The upgrades identified in step 1 were able to solve the study base case, and a number of thermal violations</w:t>
      </w:r>
      <w:r>
        <w:rPr>
          <w:color w:val="44546A" w:themeColor="text2"/>
        </w:rPr>
        <w:t xml:space="preserve"> which are listed in Table </w:t>
      </w:r>
      <w:r w:rsidRPr="0070373B">
        <w:rPr>
          <w:color w:val="44546A" w:themeColor="text2"/>
        </w:rPr>
        <w:t xml:space="preserve">2 were observed under N-0 condition and solar generation in the study area were assumed online. </w:t>
      </w:r>
    </w:p>
    <w:p w:rsidR="0070373B" w:rsidRPr="0070373B" w:rsidRDefault="0070373B" w:rsidP="0070373B">
      <w:pPr>
        <w:pStyle w:val="tablehead"/>
        <w:jc w:val="center"/>
        <w:rPr>
          <w:color w:val="44546A" w:themeColor="text2"/>
        </w:rPr>
      </w:pPr>
      <w:r>
        <w:rPr>
          <w:color w:val="44546A" w:themeColor="text2"/>
        </w:rPr>
        <w:t xml:space="preserve">Table </w:t>
      </w:r>
      <w:r w:rsidRPr="0070373B">
        <w:rPr>
          <w:color w:val="44546A" w:themeColor="text2"/>
        </w:rPr>
        <w:t xml:space="preserve">2 Thermal </w:t>
      </w:r>
      <w:r>
        <w:rPr>
          <w:color w:val="44546A" w:themeColor="text2"/>
        </w:rPr>
        <w:t>O</w:t>
      </w:r>
      <w:r w:rsidRPr="0070373B">
        <w:rPr>
          <w:color w:val="44546A" w:themeColor="text2"/>
        </w:rPr>
        <w:t xml:space="preserve">verloads under N-0 with </w:t>
      </w:r>
      <w:r>
        <w:rPr>
          <w:color w:val="44546A" w:themeColor="text2"/>
        </w:rPr>
        <w:t>O</w:t>
      </w:r>
      <w:r w:rsidRPr="0070373B">
        <w:rPr>
          <w:color w:val="44546A" w:themeColor="text2"/>
        </w:rPr>
        <w:t xml:space="preserve">nline </w:t>
      </w:r>
      <w:r>
        <w:rPr>
          <w:color w:val="44546A" w:themeColor="text2"/>
        </w:rPr>
        <w:t>S</w:t>
      </w:r>
      <w:r w:rsidRPr="0070373B">
        <w:rPr>
          <w:color w:val="44546A" w:themeColor="text2"/>
        </w:rPr>
        <w:t xml:space="preserve">olar </w:t>
      </w:r>
      <w:r>
        <w:rPr>
          <w:color w:val="44546A" w:themeColor="text2"/>
        </w:rPr>
        <w:t>G</w:t>
      </w:r>
      <w:r w:rsidRPr="0070373B">
        <w:rPr>
          <w:color w:val="44546A" w:themeColor="text2"/>
        </w:rPr>
        <w:t xml:space="preserve">eneration in the Delaware Basin </w:t>
      </w:r>
      <w:r>
        <w:rPr>
          <w:color w:val="44546A" w:themeColor="text2"/>
        </w:rPr>
        <w:t>A</w:t>
      </w:r>
      <w:r w:rsidRPr="0070373B">
        <w:rPr>
          <w:color w:val="44546A" w:themeColor="text2"/>
        </w:rPr>
        <w:t>rea</w:t>
      </w:r>
    </w:p>
    <w:tbl>
      <w:tblPr>
        <w:tblStyle w:val="TableGrid"/>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5130"/>
        <w:gridCol w:w="1890"/>
        <w:gridCol w:w="2160"/>
      </w:tblGrid>
      <w:tr w:rsidR="0070373B" w:rsidRPr="0070373B" w:rsidTr="006C0ED7">
        <w:trPr>
          <w:trHeight w:val="440"/>
          <w:jc w:val="center"/>
        </w:trPr>
        <w:tc>
          <w:tcPr>
            <w:tcW w:w="5130" w:type="dxa"/>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Element</w:t>
            </w:r>
          </w:p>
        </w:tc>
        <w:tc>
          <w:tcPr>
            <w:tcW w:w="1890" w:type="dxa"/>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Length (miles)</w:t>
            </w:r>
          </w:p>
        </w:tc>
        <w:tc>
          <w:tcPr>
            <w:tcW w:w="2160" w:type="dxa"/>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Thermal Overloading</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Wolf Switching Station - </w:t>
            </w:r>
            <w:proofErr w:type="spellStart"/>
            <w:r w:rsidRPr="0070373B">
              <w:rPr>
                <w:rFonts w:cs="Arial"/>
                <w:color w:val="44546A" w:themeColor="text2"/>
                <w:szCs w:val="18"/>
              </w:rPr>
              <w:t>Wickett</w:t>
            </w:r>
            <w:proofErr w:type="spellEnd"/>
            <w:r w:rsidRPr="0070373B">
              <w:rPr>
                <w:rFonts w:cs="Arial"/>
                <w:color w:val="44546A" w:themeColor="text2"/>
                <w:szCs w:val="18"/>
              </w:rPr>
              <w:t xml:space="preserve"> 138-kV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5.8</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111.2%</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Yucca Drive - Royalty 69-kV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10.3</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116.2%</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Royalty - </w:t>
            </w:r>
            <w:proofErr w:type="spellStart"/>
            <w:r w:rsidRPr="0070373B">
              <w:rPr>
                <w:rFonts w:cs="Arial"/>
                <w:color w:val="44546A" w:themeColor="text2"/>
                <w:szCs w:val="18"/>
              </w:rPr>
              <w:t>Coyanosa</w:t>
            </w:r>
            <w:proofErr w:type="spellEnd"/>
            <w:r w:rsidRPr="0070373B">
              <w:rPr>
                <w:rFonts w:cs="Arial"/>
                <w:color w:val="44546A" w:themeColor="text2"/>
                <w:szCs w:val="18"/>
              </w:rPr>
              <w:t xml:space="preserve"> 69-kV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10.3</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151.1%</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proofErr w:type="spellStart"/>
            <w:r w:rsidRPr="0070373B">
              <w:rPr>
                <w:rFonts w:cs="Arial"/>
                <w:color w:val="44546A" w:themeColor="text2"/>
                <w:szCs w:val="18"/>
              </w:rPr>
              <w:t>Barrilla</w:t>
            </w:r>
            <w:proofErr w:type="spellEnd"/>
            <w:r w:rsidRPr="0070373B">
              <w:rPr>
                <w:rFonts w:cs="Arial"/>
                <w:color w:val="44546A" w:themeColor="text2"/>
                <w:szCs w:val="18"/>
              </w:rPr>
              <w:t xml:space="preserve"> - </w:t>
            </w:r>
            <w:proofErr w:type="spellStart"/>
            <w:r w:rsidRPr="0070373B">
              <w:rPr>
                <w:rFonts w:cs="Arial"/>
                <w:color w:val="44546A" w:themeColor="text2"/>
                <w:szCs w:val="18"/>
              </w:rPr>
              <w:t>Hoefs</w:t>
            </w:r>
            <w:proofErr w:type="spellEnd"/>
            <w:r w:rsidRPr="0070373B">
              <w:rPr>
                <w:rFonts w:cs="Arial"/>
                <w:color w:val="44546A" w:themeColor="text2"/>
                <w:szCs w:val="18"/>
              </w:rPr>
              <w:t xml:space="preserve"> Road 69-kV ckt1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8.2</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116.1%</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proofErr w:type="spellStart"/>
            <w:r w:rsidRPr="0070373B">
              <w:rPr>
                <w:rFonts w:cs="Arial"/>
                <w:color w:val="44546A" w:themeColor="text2"/>
                <w:szCs w:val="18"/>
              </w:rPr>
              <w:t>Barrilla</w:t>
            </w:r>
            <w:proofErr w:type="spellEnd"/>
            <w:r w:rsidRPr="0070373B">
              <w:rPr>
                <w:rFonts w:cs="Arial"/>
                <w:color w:val="44546A" w:themeColor="text2"/>
                <w:szCs w:val="18"/>
              </w:rPr>
              <w:t xml:space="preserve"> 138/69-kV transformer</w:t>
            </w:r>
          </w:p>
        </w:tc>
        <w:tc>
          <w:tcPr>
            <w:tcW w:w="1890" w:type="dxa"/>
            <w:vAlign w:val="bottom"/>
          </w:tcPr>
          <w:p w:rsidR="0070373B" w:rsidRPr="0070373B" w:rsidRDefault="0070373B" w:rsidP="006C0ED7">
            <w:pPr>
              <w:pStyle w:val="table"/>
              <w:jc w:val="center"/>
              <w:rPr>
                <w:rFonts w:cs="Arial"/>
                <w:color w:val="44546A" w:themeColor="text2"/>
                <w:szCs w:val="18"/>
              </w:rPr>
            </w:pP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111.4%</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Quail Switch - Odessa EHV Switch 345-kV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0.9</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107.9%</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Riverton 345/138-kV transformer 1</w:t>
            </w:r>
          </w:p>
        </w:tc>
        <w:tc>
          <w:tcPr>
            <w:tcW w:w="1890" w:type="dxa"/>
            <w:vAlign w:val="bottom"/>
          </w:tcPr>
          <w:p w:rsidR="0070373B" w:rsidRPr="0070373B" w:rsidRDefault="0070373B" w:rsidP="006C0ED7">
            <w:pPr>
              <w:pStyle w:val="table"/>
              <w:jc w:val="center"/>
              <w:rPr>
                <w:rFonts w:cs="Arial"/>
                <w:color w:val="44546A" w:themeColor="text2"/>
                <w:szCs w:val="18"/>
              </w:rPr>
            </w:pP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109.7%</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Riverton 345/138-kV transformer 2</w:t>
            </w:r>
          </w:p>
        </w:tc>
        <w:tc>
          <w:tcPr>
            <w:tcW w:w="1890" w:type="dxa"/>
            <w:vAlign w:val="bottom"/>
          </w:tcPr>
          <w:p w:rsidR="0070373B" w:rsidRPr="0070373B" w:rsidRDefault="0070373B" w:rsidP="006C0ED7">
            <w:pPr>
              <w:pStyle w:val="table"/>
              <w:jc w:val="center"/>
              <w:rPr>
                <w:rFonts w:cs="Arial"/>
                <w:color w:val="44546A" w:themeColor="text2"/>
                <w:szCs w:val="18"/>
              </w:rPr>
            </w:pP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109.7%</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lastRenderedPageBreak/>
              <w:t>Wink - AA Pipeline Tap 69-kV ckt1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0.7</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121.6%</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proofErr w:type="spellStart"/>
            <w:r w:rsidRPr="0070373B">
              <w:rPr>
                <w:rFonts w:cs="Arial"/>
                <w:color w:val="44546A" w:themeColor="text2"/>
                <w:szCs w:val="18"/>
              </w:rPr>
              <w:t>Wickett</w:t>
            </w:r>
            <w:proofErr w:type="spellEnd"/>
            <w:r w:rsidRPr="0070373B">
              <w:rPr>
                <w:rFonts w:cs="Arial"/>
                <w:color w:val="44546A" w:themeColor="text2"/>
                <w:szCs w:val="18"/>
              </w:rPr>
              <w:t xml:space="preserve"> - </w:t>
            </w:r>
            <w:proofErr w:type="spellStart"/>
            <w:r w:rsidRPr="0070373B">
              <w:rPr>
                <w:rFonts w:cs="Arial"/>
                <w:color w:val="44546A" w:themeColor="text2"/>
                <w:szCs w:val="18"/>
              </w:rPr>
              <w:t>Pyote</w:t>
            </w:r>
            <w:proofErr w:type="spellEnd"/>
            <w:r w:rsidRPr="0070373B">
              <w:rPr>
                <w:rFonts w:cs="Arial"/>
                <w:color w:val="44546A" w:themeColor="text2"/>
                <w:szCs w:val="18"/>
              </w:rPr>
              <w:t xml:space="preserve"> 138-kV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12.9</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107.7%</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proofErr w:type="spellStart"/>
            <w:r w:rsidRPr="0070373B">
              <w:rPr>
                <w:rFonts w:cs="Arial"/>
                <w:color w:val="44546A" w:themeColor="text2"/>
                <w:szCs w:val="18"/>
              </w:rPr>
              <w:t>Pyote</w:t>
            </w:r>
            <w:proofErr w:type="spellEnd"/>
            <w:r w:rsidRPr="0070373B">
              <w:rPr>
                <w:rFonts w:cs="Arial"/>
                <w:color w:val="44546A" w:themeColor="text2"/>
                <w:szCs w:val="18"/>
              </w:rPr>
              <w:t xml:space="preserve"> - Reward Tap 138-kV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12.3</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103.6%</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Barilla Draw - Flat Top 138-kV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5.8</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124.8%</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Flat Top - Pig Creek 138-kV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8.9</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128.6%</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Gemsbok - Gemsbok Autonomous Crypto 138-kV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1.4</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110.5%</w:t>
            </w:r>
          </w:p>
        </w:tc>
      </w:tr>
      <w:tr w:rsidR="0070373B" w:rsidRPr="0070373B" w:rsidTr="006C0ED7">
        <w:trPr>
          <w:jc w:val="center"/>
        </w:trPr>
        <w:tc>
          <w:tcPr>
            <w:tcW w:w="513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AA Pipeline Tap - AA Pipeline Meter Station 69-kV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189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0.2</w:t>
            </w:r>
          </w:p>
        </w:tc>
        <w:tc>
          <w:tcPr>
            <w:tcW w:w="21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103.2%</w:t>
            </w:r>
          </w:p>
        </w:tc>
      </w:tr>
    </w:tbl>
    <w:p w:rsidR="0070373B" w:rsidRPr="0070373B" w:rsidRDefault="0070373B" w:rsidP="0070373B">
      <w:pPr>
        <w:pStyle w:val="BodyText"/>
        <w:jc w:val="both"/>
        <w:rPr>
          <w:color w:val="44546A" w:themeColor="text2"/>
        </w:rPr>
      </w:pPr>
    </w:p>
    <w:p w:rsidR="0070373B" w:rsidRPr="0070373B" w:rsidRDefault="0070373B" w:rsidP="0070373B">
      <w:pPr>
        <w:pStyle w:val="BodyText"/>
        <w:jc w:val="both"/>
        <w:rPr>
          <w:color w:val="44546A" w:themeColor="text2"/>
        </w:rPr>
      </w:pPr>
      <w:r w:rsidRPr="0070373B">
        <w:rPr>
          <w:color w:val="44546A" w:themeColor="text2"/>
        </w:rPr>
        <w:t>To address the thermal overloads</w:t>
      </w:r>
      <w:r>
        <w:rPr>
          <w:color w:val="44546A" w:themeColor="text2"/>
        </w:rPr>
        <w:t xml:space="preserve"> listed in Table </w:t>
      </w:r>
      <w:r w:rsidRPr="0070373B">
        <w:rPr>
          <w:color w:val="44546A" w:themeColor="text2"/>
        </w:rPr>
        <w:t xml:space="preserve">2, additional transmission upgrades were identified and </w:t>
      </w:r>
      <w:r>
        <w:rPr>
          <w:color w:val="44546A" w:themeColor="text2"/>
        </w:rPr>
        <w:t xml:space="preserve">added to the study case. Table </w:t>
      </w:r>
      <w:r w:rsidRPr="0070373B">
        <w:rPr>
          <w:color w:val="44546A" w:themeColor="text2"/>
        </w:rPr>
        <w:t>3 shows the additional transmission upgrades added in Step 2.  The upgrades identified in step 1 and step 2 were needed to address the voltage instability and thermal violations under N-0 condition assuming the solar generation in the study area were online.</w:t>
      </w:r>
    </w:p>
    <w:p w:rsidR="0070373B" w:rsidRPr="0070373B" w:rsidRDefault="0070373B" w:rsidP="00BB71B9">
      <w:pPr>
        <w:pStyle w:val="BodyText"/>
        <w:jc w:val="center"/>
        <w:rPr>
          <w:b/>
          <w:color w:val="44546A" w:themeColor="text2"/>
          <w:sz w:val="18"/>
          <w:szCs w:val="18"/>
        </w:rPr>
      </w:pPr>
      <w:r>
        <w:rPr>
          <w:b/>
          <w:color w:val="44546A" w:themeColor="text2"/>
          <w:sz w:val="18"/>
          <w:szCs w:val="18"/>
        </w:rPr>
        <w:t xml:space="preserve">Table </w:t>
      </w:r>
      <w:r w:rsidRPr="0070373B">
        <w:rPr>
          <w:b/>
          <w:color w:val="44546A" w:themeColor="text2"/>
          <w:sz w:val="18"/>
          <w:szCs w:val="18"/>
        </w:rPr>
        <w:t xml:space="preserve">3 Additional </w:t>
      </w:r>
      <w:r>
        <w:rPr>
          <w:b/>
          <w:color w:val="44546A" w:themeColor="text2"/>
          <w:sz w:val="18"/>
          <w:szCs w:val="18"/>
        </w:rPr>
        <w:t>T</w:t>
      </w:r>
      <w:r w:rsidRPr="0070373B">
        <w:rPr>
          <w:b/>
          <w:color w:val="44546A" w:themeColor="text2"/>
          <w:sz w:val="18"/>
          <w:szCs w:val="18"/>
        </w:rPr>
        <w:t>ransmiss</w:t>
      </w:r>
      <w:r>
        <w:rPr>
          <w:b/>
          <w:color w:val="44546A" w:themeColor="text2"/>
          <w:sz w:val="18"/>
          <w:szCs w:val="18"/>
        </w:rPr>
        <w:t>ion U</w:t>
      </w:r>
      <w:r w:rsidRPr="0070373B">
        <w:rPr>
          <w:b/>
          <w:color w:val="44546A" w:themeColor="text2"/>
          <w:sz w:val="18"/>
          <w:szCs w:val="18"/>
        </w:rPr>
        <w:t>pgrades in Step 2</w:t>
      </w:r>
    </w:p>
    <w:tbl>
      <w:tblPr>
        <w:tblStyle w:val="TableGrid"/>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660"/>
        <w:gridCol w:w="2520"/>
      </w:tblGrid>
      <w:tr w:rsidR="0070373B" w:rsidRPr="0070373B" w:rsidTr="006C0ED7">
        <w:trPr>
          <w:trHeight w:val="440"/>
          <w:jc w:val="center"/>
        </w:trPr>
        <w:tc>
          <w:tcPr>
            <w:tcW w:w="6660" w:type="dxa"/>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Transmission Upgrades/Addition</w:t>
            </w:r>
          </w:p>
        </w:tc>
        <w:tc>
          <w:tcPr>
            <w:tcW w:w="2520" w:type="dxa"/>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Length (miles)</w:t>
            </w:r>
          </w:p>
        </w:tc>
      </w:tr>
      <w:tr w:rsidR="0070373B" w:rsidRPr="0070373B" w:rsidTr="006C0ED7">
        <w:trPr>
          <w:jc w:val="center"/>
        </w:trPr>
        <w:tc>
          <w:tcPr>
            <w:tcW w:w="66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Convert AEP 69-kV line </w:t>
            </w:r>
            <w:proofErr w:type="spellStart"/>
            <w:r w:rsidRPr="0070373B">
              <w:rPr>
                <w:rFonts w:cs="Arial"/>
                <w:color w:val="44546A" w:themeColor="text2"/>
                <w:szCs w:val="18"/>
              </w:rPr>
              <w:t>Barrilla</w:t>
            </w:r>
            <w:proofErr w:type="spellEnd"/>
            <w:r w:rsidRPr="0070373B">
              <w:rPr>
                <w:rFonts w:cs="Arial"/>
                <w:color w:val="44546A" w:themeColor="text2"/>
                <w:szCs w:val="18"/>
              </w:rPr>
              <w:t xml:space="preserve"> - </w:t>
            </w:r>
            <w:proofErr w:type="spellStart"/>
            <w:r w:rsidRPr="0070373B">
              <w:rPr>
                <w:rFonts w:cs="Arial"/>
                <w:color w:val="44546A" w:themeColor="text2"/>
                <w:szCs w:val="18"/>
              </w:rPr>
              <w:t>Hoefs</w:t>
            </w:r>
            <w:proofErr w:type="spellEnd"/>
            <w:r w:rsidRPr="0070373B">
              <w:rPr>
                <w:rFonts w:cs="Arial"/>
                <w:color w:val="44546A" w:themeColor="text2"/>
                <w:szCs w:val="18"/>
              </w:rPr>
              <w:t xml:space="preserve"> Road - </w:t>
            </w:r>
            <w:proofErr w:type="spellStart"/>
            <w:r w:rsidRPr="0070373B">
              <w:rPr>
                <w:rFonts w:cs="Arial"/>
                <w:color w:val="44546A" w:themeColor="text2"/>
                <w:szCs w:val="18"/>
              </w:rPr>
              <w:t>Verhalen</w:t>
            </w:r>
            <w:proofErr w:type="spellEnd"/>
            <w:r w:rsidRPr="0070373B">
              <w:rPr>
                <w:rFonts w:cs="Arial"/>
                <w:color w:val="44546A" w:themeColor="text2"/>
                <w:szCs w:val="18"/>
              </w:rPr>
              <w:t xml:space="preserve"> - </w:t>
            </w:r>
            <w:proofErr w:type="spellStart"/>
            <w:r w:rsidRPr="0070373B">
              <w:rPr>
                <w:rFonts w:cs="Arial"/>
                <w:color w:val="44546A" w:themeColor="text2"/>
                <w:szCs w:val="18"/>
              </w:rPr>
              <w:t>Saragosa</w:t>
            </w:r>
            <w:proofErr w:type="spellEnd"/>
            <w:r w:rsidRPr="0070373B">
              <w:rPr>
                <w:rFonts w:cs="Arial"/>
                <w:color w:val="44546A" w:themeColor="text2"/>
                <w:szCs w:val="18"/>
              </w:rPr>
              <w:t xml:space="preserve"> to 138-kV</w:t>
            </w:r>
          </w:p>
        </w:tc>
        <w:tc>
          <w:tcPr>
            <w:tcW w:w="252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33.8</w:t>
            </w:r>
          </w:p>
        </w:tc>
      </w:tr>
      <w:tr w:rsidR="0070373B" w:rsidRPr="0070373B" w:rsidTr="006C0ED7">
        <w:trPr>
          <w:jc w:val="center"/>
        </w:trPr>
        <w:tc>
          <w:tcPr>
            <w:tcW w:w="66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Convert TNMP 69-kV system from Winks to IH20 to 138-kV </w:t>
            </w:r>
          </w:p>
        </w:tc>
        <w:tc>
          <w:tcPr>
            <w:tcW w:w="252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(a recent RPG-approved Tier 2 project)</w:t>
            </w:r>
          </w:p>
        </w:tc>
      </w:tr>
      <w:tr w:rsidR="0070373B" w:rsidRPr="0070373B" w:rsidTr="006C0ED7">
        <w:trPr>
          <w:jc w:val="center"/>
        </w:trPr>
        <w:tc>
          <w:tcPr>
            <w:tcW w:w="66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Convert ONCOR 69-kV line Yucca - Royalty - </w:t>
            </w:r>
            <w:proofErr w:type="spellStart"/>
            <w:r w:rsidRPr="0070373B">
              <w:rPr>
                <w:rFonts w:cs="Arial"/>
                <w:color w:val="44546A" w:themeColor="text2"/>
                <w:szCs w:val="18"/>
              </w:rPr>
              <w:t>Coyanosa</w:t>
            </w:r>
            <w:proofErr w:type="spellEnd"/>
            <w:r w:rsidRPr="0070373B">
              <w:rPr>
                <w:rFonts w:cs="Arial"/>
                <w:color w:val="44546A" w:themeColor="text2"/>
                <w:szCs w:val="18"/>
              </w:rPr>
              <w:t xml:space="preserve"> - </w:t>
            </w:r>
            <w:proofErr w:type="spellStart"/>
            <w:r w:rsidRPr="0070373B">
              <w:rPr>
                <w:rFonts w:cs="Arial"/>
                <w:color w:val="44546A" w:themeColor="text2"/>
                <w:szCs w:val="18"/>
              </w:rPr>
              <w:t>Wolfcamp</w:t>
            </w:r>
            <w:proofErr w:type="spellEnd"/>
            <w:r w:rsidRPr="0070373B">
              <w:rPr>
                <w:rFonts w:cs="Arial"/>
                <w:color w:val="44546A" w:themeColor="text2"/>
                <w:szCs w:val="18"/>
              </w:rPr>
              <w:t xml:space="preserve"> to 138-kV</w:t>
            </w:r>
          </w:p>
        </w:tc>
        <w:tc>
          <w:tcPr>
            <w:tcW w:w="252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46.9</w:t>
            </w:r>
          </w:p>
        </w:tc>
      </w:tr>
      <w:tr w:rsidR="0070373B" w:rsidRPr="0070373B" w:rsidTr="006C0ED7">
        <w:trPr>
          <w:jc w:val="center"/>
        </w:trPr>
        <w:tc>
          <w:tcPr>
            <w:tcW w:w="66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Tap the Wolf - Riverton 345-kV double circuit at Quarry Field, and add two 345/138-kV transformer at Quarry Field</w:t>
            </w:r>
          </w:p>
        </w:tc>
        <w:tc>
          <w:tcPr>
            <w:tcW w:w="2520" w:type="dxa"/>
            <w:vAlign w:val="bottom"/>
          </w:tcPr>
          <w:p w:rsidR="0070373B" w:rsidRPr="0070373B" w:rsidRDefault="0070373B" w:rsidP="006C0ED7">
            <w:pPr>
              <w:pStyle w:val="table"/>
              <w:jc w:val="center"/>
              <w:rPr>
                <w:rFonts w:cs="Arial"/>
                <w:color w:val="44546A" w:themeColor="text2"/>
                <w:szCs w:val="18"/>
              </w:rPr>
            </w:pPr>
          </w:p>
        </w:tc>
      </w:tr>
      <w:tr w:rsidR="0070373B" w:rsidRPr="0070373B" w:rsidTr="006C0ED7">
        <w:trPr>
          <w:jc w:val="center"/>
        </w:trPr>
        <w:tc>
          <w:tcPr>
            <w:tcW w:w="66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Upgrade Quail Switch - Odessa EHV Switch 345-kV </w:t>
            </w:r>
            <w:proofErr w:type="spellStart"/>
            <w:r w:rsidRPr="0070373B">
              <w:rPr>
                <w:rFonts w:cs="Arial"/>
                <w:color w:val="44546A" w:themeColor="text2"/>
                <w:szCs w:val="18"/>
              </w:rPr>
              <w:t>ckt</w:t>
            </w:r>
            <w:proofErr w:type="spellEnd"/>
            <w:r w:rsidRPr="0070373B">
              <w:rPr>
                <w:rFonts w:cs="Arial"/>
                <w:color w:val="44546A" w:themeColor="text2"/>
                <w:szCs w:val="18"/>
              </w:rPr>
              <w:t xml:space="preserve"> 1</w:t>
            </w:r>
          </w:p>
        </w:tc>
        <w:tc>
          <w:tcPr>
            <w:tcW w:w="252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0.9</w:t>
            </w:r>
          </w:p>
        </w:tc>
      </w:tr>
      <w:tr w:rsidR="0070373B" w:rsidRPr="0070373B" w:rsidTr="006C0ED7">
        <w:trPr>
          <w:jc w:val="center"/>
        </w:trPr>
        <w:tc>
          <w:tcPr>
            <w:tcW w:w="666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 xml:space="preserve">Upgrade the Solstice </w:t>
            </w:r>
            <w:r w:rsidR="00BB71B9" w:rsidRPr="0070373B">
              <w:rPr>
                <w:rFonts w:cs="Arial"/>
                <w:color w:val="44546A" w:themeColor="text2"/>
                <w:szCs w:val="18"/>
              </w:rPr>
              <w:t>-</w:t>
            </w:r>
            <w:r w:rsidRPr="0070373B">
              <w:rPr>
                <w:rFonts w:cs="Arial"/>
                <w:color w:val="44546A" w:themeColor="text2"/>
                <w:szCs w:val="18"/>
              </w:rPr>
              <w:t xml:space="preserve"> </w:t>
            </w:r>
            <w:proofErr w:type="spellStart"/>
            <w:r w:rsidRPr="0070373B">
              <w:rPr>
                <w:rFonts w:cs="Arial"/>
                <w:color w:val="44546A" w:themeColor="text2"/>
                <w:szCs w:val="18"/>
              </w:rPr>
              <w:t>Hayter</w:t>
            </w:r>
            <w:proofErr w:type="spellEnd"/>
            <w:r w:rsidRPr="0070373B">
              <w:rPr>
                <w:rFonts w:cs="Arial"/>
                <w:color w:val="44546A" w:themeColor="text2"/>
                <w:szCs w:val="18"/>
              </w:rPr>
              <w:t xml:space="preserve"> </w:t>
            </w:r>
            <w:r w:rsidR="00BB71B9" w:rsidRPr="0070373B">
              <w:rPr>
                <w:rFonts w:cs="Arial"/>
                <w:color w:val="44546A" w:themeColor="text2"/>
                <w:szCs w:val="18"/>
              </w:rPr>
              <w:t>-</w:t>
            </w:r>
            <w:r w:rsidRPr="0070373B">
              <w:rPr>
                <w:rFonts w:cs="Arial"/>
                <w:color w:val="44546A" w:themeColor="text2"/>
                <w:szCs w:val="18"/>
              </w:rPr>
              <w:t xml:space="preserve"> </w:t>
            </w:r>
            <w:proofErr w:type="spellStart"/>
            <w:r w:rsidRPr="0070373B">
              <w:rPr>
                <w:rFonts w:cs="Arial"/>
                <w:color w:val="44546A" w:themeColor="text2"/>
                <w:szCs w:val="18"/>
              </w:rPr>
              <w:t>Remeranch</w:t>
            </w:r>
            <w:proofErr w:type="spellEnd"/>
            <w:r w:rsidRPr="0070373B">
              <w:rPr>
                <w:rFonts w:cs="Arial"/>
                <w:color w:val="44546A" w:themeColor="text2"/>
                <w:szCs w:val="18"/>
              </w:rPr>
              <w:t xml:space="preserve"> 138-kV</w:t>
            </w:r>
          </w:p>
        </w:tc>
        <w:tc>
          <w:tcPr>
            <w:tcW w:w="2520" w:type="dxa"/>
            <w:vAlign w:val="bottom"/>
          </w:tcPr>
          <w:p w:rsidR="0070373B" w:rsidRPr="0070373B" w:rsidRDefault="0070373B" w:rsidP="006C0ED7">
            <w:pPr>
              <w:pStyle w:val="table"/>
              <w:jc w:val="center"/>
              <w:rPr>
                <w:rFonts w:cs="Arial"/>
                <w:color w:val="44546A" w:themeColor="text2"/>
                <w:szCs w:val="18"/>
              </w:rPr>
            </w:pPr>
            <w:r w:rsidRPr="0070373B">
              <w:rPr>
                <w:rFonts w:cs="Arial"/>
                <w:color w:val="44546A" w:themeColor="text2"/>
                <w:szCs w:val="18"/>
              </w:rPr>
              <w:t>15.7</w:t>
            </w:r>
          </w:p>
        </w:tc>
      </w:tr>
    </w:tbl>
    <w:p w:rsidR="0070373B" w:rsidRPr="0070373B" w:rsidRDefault="0070373B" w:rsidP="0070373B">
      <w:pPr>
        <w:pStyle w:val="BodyText"/>
        <w:jc w:val="both"/>
        <w:rPr>
          <w:color w:val="44546A" w:themeColor="text2"/>
        </w:rPr>
      </w:pPr>
    </w:p>
    <w:p w:rsidR="0070373B" w:rsidRPr="0070373B" w:rsidRDefault="0070373B" w:rsidP="0070373B">
      <w:pPr>
        <w:pStyle w:val="Heading2"/>
        <w:numPr>
          <w:ilvl w:val="0"/>
          <w:numId w:val="0"/>
        </w:numPr>
        <w:ind w:left="432" w:hanging="432"/>
        <w:rPr>
          <w:color w:val="44546A" w:themeColor="text2"/>
        </w:rPr>
      </w:pPr>
      <w:bookmarkStart w:id="3" w:name="_Toc26948695"/>
      <w:r w:rsidRPr="0070373B">
        <w:rPr>
          <w:color w:val="44546A" w:themeColor="text2"/>
        </w:rPr>
        <w:t>Step 3</w:t>
      </w:r>
      <w:bookmarkEnd w:id="3"/>
    </w:p>
    <w:p w:rsidR="0070373B" w:rsidRPr="0070373B" w:rsidRDefault="0070373B" w:rsidP="0070373B">
      <w:pPr>
        <w:pStyle w:val="BodyText"/>
        <w:jc w:val="both"/>
        <w:rPr>
          <w:color w:val="44546A" w:themeColor="text2"/>
        </w:rPr>
      </w:pPr>
      <w:r w:rsidRPr="0070373B">
        <w:rPr>
          <w:color w:val="44546A" w:themeColor="text2"/>
        </w:rPr>
        <w:t xml:space="preserve">Based on the study assumption, the solar generation in the Delaware Basin area were turned off to represent a stressed system condition. </w:t>
      </w:r>
      <w:r w:rsidR="00BB71B9">
        <w:rPr>
          <w:color w:val="44546A" w:themeColor="text2"/>
        </w:rPr>
        <w:t xml:space="preserve"> </w:t>
      </w:r>
      <w:r w:rsidRPr="0070373B">
        <w:rPr>
          <w:color w:val="44546A" w:themeColor="text2"/>
        </w:rPr>
        <w:t xml:space="preserve">The study results showed that turning off the solar generation in the Delaware Basin area would result in voltage collapse mainly because of the loss of reactive power support from the solar generation. </w:t>
      </w:r>
      <w:r w:rsidR="00BB71B9">
        <w:rPr>
          <w:color w:val="44546A" w:themeColor="text2"/>
        </w:rPr>
        <w:t xml:space="preserve"> </w:t>
      </w:r>
      <w:r w:rsidRPr="0070373B">
        <w:rPr>
          <w:color w:val="44546A" w:themeColor="text2"/>
        </w:rPr>
        <w:t>To address the voltage collapse issue, one new single circuit 345-kV import path (</w:t>
      </w:r>
      <w:proofErr w:type="spellStart"/>
      <w:r w:rsidRPr="0070373B">
        <w:rPr>
          <w:color w:val="44546A" w:themeColor="text2"/>
        </w:rPr>
        <w:t>Bearkat</w:t>
      </w:r>
      <w:proofErr w:type="spellEnd"/>
      <w:r w:rsidRPr="0070373B">
        <w:rPr>
          <w:color w:val="44546A" w:themeColor="text2"/>
        </w:rPr>
        <w:t xml:space="preserve"> </w:t>
      </w:r>
      <w:r w:rsidR="00BB71B9" w:rsidRPr="0070373B">
        <w:rPr>
          <w:rFonts w:cs="Arial"/>
          <w:color w:val="44546A" w:themeColor="text2"/>
          <w:szCs w:val="18"/>
        </w:rPr>
        <w:t>-</w:t>
      </w:r>
      <w:r w:rsidRPr="0070373B">
        <w:rPr>
          <w:color w:val="44546A" w:themeColor="text2"/>
        </w:rPr>
        <w:t xml:space="preserve"> Wolf </w:t>
      </w:r>
      <w:r w:rsidR="00BB71B9" w:rsidRPr="0070373B">
        <w:rPr>
          <w:rFonts w:cs="Arial"/>
          <w:color w:val="44546A" w:themeColor="text2"/>
          <w:szCs w:val="18"/>
        </w:rPr>
        <w:t>-</w:t>
      </w:r>
      <w:r w:rsidRPr="0070373B">
        <w:rPr>
          <w:color w:val="44546A" w:themeColor="text2"/>
        </w:rPr>
        <w:t xml:space="preserve"> Sand Lake) was considered as a placeholder project.</w:t>
      </w:r>
    </w:p>
    <w:p w:rsidR="0070373B" w:rsidRPr="0070373B" w:rsidRDefault="0070373B" w:rsidP="0070373B">
      <w:pPr>
        <w:pStyle w:val="BodyText"/>
        <w:jc w:val="both"/>
        <w:rPr>
          <w:color w:val="44546A" w:themeColor="text2"/>
        </w:rPr>
      </w:pPr>
      <w:r w:rsidRPr="0070373B">
        <w:rPr>
          <w:color w:val="44546A" w:themeColor="text2"/>
        </w:rPr>
        <w:t xml:space="preserve">The upgrades identified in the abovementioned steps were needed to address the voltage instability and thermal violations under N-0 condition when solar generation in the study area were assumed offline. </w:t>
      </w:r>
    </w:p>
    <w:p w:rsidR="00676AE1" w:rsidRDefault="00BB71B9"/>
    <w:sectPr w:rsidR="00676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91FD2"/>
    <w:multiLevelType w:val="multilevel"/>
    <w:tmpl w:val="7D78C65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3942"/>
        </w:tabs>
        <w:ind w:left="3942" w:hanging="432"/>
      </w:pPr>
      <w:rPr>
        <w:rFonts w:hint="default"/>
      </w:rPr>
    </w:lvl>
    <w:lvl w:ilvl="2">
      <w:start w:val="1"/>
      <w:numFmt w:val="decimal"/>
      <w:pStyle w:val="Heading3"/>
      <w:lvlText w:val="%1.%2.%3."/>
      <w:lvlJc w:val="left"/>
      <w:pPr>
        <w:tabs>
          <w:tab w:val="num" w:pos="1620"/>
        </w:tabs>
        <w:ind w:left="162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3B"/>
    <w:rsid w:val="001745B7"/>
    <w:rsid w:val="0070373B"/>
    <w:rsid w:val="00BB71B9"/>
    <w:rsid w:val="00BC613D"/>
    <w:rsid w:val="00BF5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55A9B1-8AB2-487C-9723-41E5E3BC6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73B"/>
    <w:pPr>
      <w:spacing w:after="0" w:line="240" w:lineRule="auto"/>
    </w:pPr>
    <w:rPr>
      <w:rFonts w:ascii="Arial" w:eastAsia="Times New Roman" w:hAnsi="Arial" w:cs="Times New Roman"/>
      <w:color w:val="44546A" w:themeColor="text2"/>
      <w:sz w:val="24"/>
      <w:szCs w:val="24"/>
    </w:rPr>
  </w:style>
  <w:style w:type="paragraph" w:styleId="Heading1">
    <w:name w:val="heading 1"/>
    <w:basedOn w:val="Normal"/>
    <w:next w:val="Normal"/>
    <w:link w:val="Heading1Char"/>
    <w:qFormat/>
    <w:rsid w:val="0070373B"/>
    <w:pPr>
      <w:keepNext/>
      <w:numPr>
        <w:numId w:val="2"/>
      </w:numPr>
      <w:spacing w:before="320" w:after="240"/>
      <w:outlineLvl w:val="0"/>
    </w:pPr>
    <w:rPr>
      <w:rFonts w:cs="Arial"/>
      <w:b/>
      <w:bCs/>
      <w:color w:val="5B9BD5" w:themeColor="accent1"/>
      <w:kern w:val="32"/>
      <w:sz w:val="28"/>
      <w:szCs w:val="32"/>
    </w:rPr>
  </w:style>
  <w:style w:type="paragraph" w:styleId="Heading2">
    <w:name w:val="heading 2"/>
    <w:basedOn w:val="Normal"/>
    <w:next w:val="Normal"/>
    <w:link w:val="Heading2Char"/>
    <w:qFormat/>
    <w:rsid w:val="0070373B"/>
    <w:pPr>
      <w:keepNext/>
      <w:numPr>
        <w:ilvl w:val="1"/>
        <w:numId w:val="2"/>
      </w:numPr>
      <w:tabs>
        <w:tab w:val="clear" w:pos="3942"/>
        <w:tab w:val="num" w:pos="432"/>
      </w:tabs>
      <w:spacing w:before="160" w:after="160"/>
      <w:ind w:left="432"/>
      <w:outlineLvl w:val="1"/>
    </w:pPr>
    <w:rPr>
      <w:rFonts w:cs="Arial"/>
      <w:b/>
      <w:bCs/>
      <w:iCs/>
      <w:color w:val="5B9BD5" w:themeColor="accent1"/>
      <w:sz w:val="22"/>
      <w:szCs w:val="28"/>
    </w:rPr>
  </w:style>
  <w:style w:type="paragraph" w:styleId="Heading3">
    <w:name w:val="heading 3"/>
    <w:basedOn w:val="Normal"/>
    <w:next w:val="Normal"/>
    <w:link w:val="Heading3Char"/>
    <w:autoRedefine/>
    <w:qFormat/>
    <w:rsid w:val="0070373B"/>
    <w:pPr>
      <w:keepNext/>
      <w:numPr>
        <w:ilvl w:val="2"/>
        <w:numId w:val="2"/>
      </w:numPr>
      <w:tabs>
        <w:tab w:val="clear" w:pos="1620"/>
        <w:tab w:val="num" w:pos="3960"/>
      </w:tabs>
      <w:spacing w:before="160" w:after="160"/>
      <w:ind w:left="720"/>
      <w:outlineLvl w:val="2"/>
    </w:pPr>
    <w:rPr>
      <w:b/>
      <w:bCs/>
      <w:color w:val="5B9BD5" w:themeColor="accent1"/>
      <w:sz w:val="21"/>
      <w:szCs w:val="21"/>
    </w:rPr>
  </w:style>
  <w:style w:type="paragraph" w:styleId="Heading4">
    <w:name w:val="heading 4"/>
    <w:basedOn w:val="Heading3"/>
    <w:next w:val="Normal"/>
    <w:link w:val="Heading4Char"/>
    <w:autoRedefine/>
    <w:qFormat/>
    <w:rsid w:val="0070373B"/>
    <w:pPr>
      <w:numPr>
        <w:ilvl w:val="3"/>
      </w:numPr>
      <w:spacing w:after="60" w:line="260" w:lineRule="exact"/>
      <w:ind w:left="1440"/>
      <w:outlineLvl w:val="3"/>
    </w:pPr>
    <w:rPr>
      <w:bCs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3B"/>
    <w:rPr>
      <w:rFonts w:ascii="Arial" w:eastAsia="Times New Roman" w:hAnsi="Arial" w:cs="Arial"/>
      <w:b/>
      <w:bCs/>
      <w:color w:val="5B9BD5" w:themeColor="accent1"/>
      <w:kern w:val="32"/>
      <w:sz w:val="28"/>
      <w:szCs w:val="32"/>
    </w:rPr>
  </w:style>
  <w:style w:type="character" w:customStyle="1" w:styleId="Heading2Char">
    <w:name w:val="Heading 2 Char"/>
    <w:basedOn w:val="DefaultParagraphFont"/>
    <w:link w:val="Heading2"/>
    <w:rsid w:val="0070373B"/>
    <w:rPr>
      <w:rFonts w:ascii="Arial" w:eastAsia="Times New Roman" w:hAnsi="Arial" w:cs="Arial"/>
      <w:b/>
      <w:bCs/>
      <w:iCs/>
      <w:color w:val="5B9BD5" w:themeColor="accent1"/>
      <w:szCs w:val="28"/>
    </w:rPr>
  </w:style>
  <w:style w:type="character" w:customStyle="1" w:styleId="Heading3Char">
    <w:name w:val="Heading 3 Char"/>
    <w:basedOn w:val="DefaultParagraphFont"/>
    <w:link w:val="Heading3"/>
    <w:rsid w:val="0070373B"/>
    <w:rPr>
      <w:rFonts w:ascii="Arial" w:eastAsia="Times New Roman" w:hAnsi="Arial" w:cs="Times New Roman"/>
      <w:b/>
      <w:bCs/>
      <w:color w:val="5B9BD5" w:themeColor="accent1"/>
      <w:sz w:val="21"/>
      <w:szCs w:val="21"/>
    </w:rPr>
  </w:style>
  <w:style w:type="character" w:customStyle="1" w:styleId="Heading4Char">
    <w:name w:val="Heading 4 Char"/>
    <w:basedOn w:val="DefaultParagraphFont"/>
    <w:link w:val="Heading4"/>
    <w:rsid w:val="0070373B"/>
    <w:rPr>
      <w:rFonts w:ascii="Arial" w:eastAsia="Times New Roman" w:hAnsi="Arial" w:cs="Times New Roman"/>
      <w:b/>
      <w:color w:val="5B9BD5" w:themeColor="accent1"/>
      <w:sz w:val="18"/>
      <w:szCs w:val="21"/>
    </w:rPr>
  </w:style>
  <w:style w:type="paragraph" w:customStyle="1" w:styleId="bulletlevel1">
    <w:name w:val="bullet level 1"/>
    <w:basedOn w:val="BodyText"/>
    <w:link w:val="bulletlevel1Char1"/>
    <w:rsid w:val="0070373B"/>
    <w:pPr>
      <w:numPr>
        <w:numId w:val="1"/>
      </w:numPr>
      <w:tabs>
        <w:tab w:val="clear" w:pos="1872"/>
      </w:tabs>
      <w:ind w:left="0" w:firstLine="0"/>
    </w:pPr>
  </w:style>
  <w:style w:type="paragraph" w:styleId="BodyText">
    <w:name w:val="Body Text"/>
    <w:basedOn w:val="Normal"/>
    <w:link w:val="BodyTextChar"/>
    <w:rsid w:val="0070373B"/>
    <w:pPr>
      <w:spacing w:after="120" w:line="260" w:lineRule="exact"/>
    </w:pPr>
    <w:rPr>
      <w:color w:val="ED7D31" w:themeColor="accent2"/>
      <w:sz w:val="21"/>
    </w:rPr>
  </w:style>
  <w:style w:type="character" w:customStyle="1" w:styleId="BodyTextChar">
    <w:name w:val="Body Text Char"/>
    <w:basedOn w:val="DefaultParagraphFont"/>
    <w:link w:val="BodyText"/>
    <w:rsid w:val="0070373B"/>
    <w:rPr>
      <w:rFonts w:ascii="Arial" w:eastAsia="Times New Roman" w:hAnsi="Arial" w:cs="Times New Roman"/>
      <w:color w:val="ED7D31" w:themeColor="accent2"/>
      <w:sz w:val="21"/>
      <w:szCs w:val="24"/>
    </w:rPr>
  </w:style>
  <w:style w:type="character" w:customStyle="1" w:styleId="bulletlevel1Char1">
    <w:name w:val="bullet level 1 Char1"/>
    <w:basedOn w:val="BodyTextChar"/>
    <w:link w:val="bulletlevel1"/>
    <w:rsid w:val="0070373B"/>
    <w:rPr>
      <w:rFonts w:ascii="Arial" w:eastAsia="Times New Roman" w:hAnsi="Arial" w:cs="Times New Roman"/>
      <w:color w:val="ED7D31" w:themeColor="accent2"/>
      <w:sz w:val="21"/>
      <w:szCs w:val="24"/>
    </w:rPr>
  </w:style>
  <w:style w:type="table" w:styleId="TableGrid">
    <w:name w:val="Table Grid"/>
    <w:basedOn w:val="TableNormal"/>
    <w:rsid w:val="0070373B"/>
    <w:pPr>
      <w:spacing w:after="0" w:line="240" w:lineRule="auto"/>
    </w:pPr>
    <w:rPr>
      <w:rFonts w:ascii="Arial" w:eastAsia="Times New Roman" w:hAnsi="Arial" w:cs="Times New Roman"/>
      <w:color w:val="44546A" w:themeColor="text2"/>
      <w:sz w:val="20"/>
      <w:szCs w:val="20"/>
    </w:rPr>
    <w:tblPr>
      <w:tblBorders>
        <w:insideH w:val="single" w:sz="4" w:space="0" w:color="5B9BD5" w:themeColor="accent1"/>
        <w:insideV w:val="single" w:sz="4" w:space="0" w:color="5B9BD5" w:themeColor="accent1"/>
      </w:tblBorders>
    </w:tblPr>
    <w:tcPr>
      <w:shd w:val="clear" w:color="auto" w:fill="auto"/>
    </w:tcPr>
  </w:style>
  <w:style w:type="paragraph" w:customStyle="1" w:styleId="tablehead">
    <w:name w:val="table head"/>
    <w:basedOn w:val="BodyText"/>
    <w:rsid w:val="0070373B"/>
    <w:pPr>
      <w:spacing w:before="20" w:after="20" w:line="240" w:lineRule="exact"/>
    </w:pPr>
    <w:rPr>
      <w:b/>
      <w:sz w:val="18"/>
    </w:rPr>
  </w:style>
  <w:style w:type="paragraph" w:customStyle="1" w:styleId="table">
    <w:name w:val="table"/>
    <w:basedOn w:val="BodyText"/>
    <w:rsid w:val="0070373B"/>
    <w:pPr>
      <w:spacing w:before="20" w:after="20" w:line="240" w:lineRule="exact"/>
    </w:pPr>
    <w:rPr>
      <w:sz w:val="18"/>
    </w:rPr>
  </w:style>
  <w:style w:type="character" w:styleId="CommentReference">
    <w:name w:val="annotation reference"/>
    <w:semiHidden/>
    <w:rsid w:val="0070373B"/>
    <w:rPr>
      <w:sz w:val="16"/>
    </w:rPr>
  </w:style>
  <w:style w:type="paragraph" w:styleId="CommentText">
    <w:name w:val="annotation text"/>
    <w:basedOn w:val="Normal"/>
    <w:link w:val="CommentTextChar"/>
    <w:rsid w:val="0070373B"/>
    <w:pPr>
      <w:widowControl w:val="0"/>
      <w:spacing w:line="240" w:lineRule="atLeast"/>
    </w:pPr>
    <w:rPr>
      <w:sz w:val="16"/>
      <w:szCs w:val="20"/>
    </w:rPr>
  </w:style>
  <w:style w:type="character" w:customStyle="1" w:styleId="CommentTextChar">
    <w:name w:val="Comment Text Char"/>
    <w:basedOn w:val="DefaultParagraphFont"/>
    <w:link w:val="CommentText"/>
    <w:rsid w:val="0070373B"/>
    <w:rPr>
      <w:rFonts w:ascii="Arial" w:eastAsia="Times New Roman" w:hAnsi="Arial" w:cs="Times New Roman"/>
      <w:color w:val="44546A" w:themeColor="text2"/>
      <w:sz w:val="16"/>
      <w:szCs w:val="20"/>
    </w:rPr>
  </w:style>
  <w:style w:type="paragraph" w:styleId="BalloonText">
    <w:name w:val="Balloon Text"/>
    <w:basedOn w:val="Normal"/>
    <w:link w:val="BalloonTextChar"/>
    <w:uiPriority w:val="99"/>
    <w:semiHidden/>
    <w:unhideWhenUsed/>
    <w:rsid w:val="007037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73B"/>
    <w:rPr>
      <w:rFonts w:ascii="Segoe UI" w:eastAsia="Times New Roman" w:hAnsi="Segoe UI" w:cs="Segoe UI"/>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Ying</dc:creator>
  <cp:keywords/>
  <dc:description/>
  <cp:lastModifiedBy>Li, Ying</cp:lastModifiedBy>
  <cp:revision>2</cp:revision>
  <dcterms:created xsi:type="dcterms:W3CDTF">2019-12-23T15:25:00Z</dcterms:created>
  <dcterms:modified xsi:type="dcterms:W3CDTF">2019-12-23T15:33:00Z</dcterms:modified>
</cp:coreProperties>
</file>