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2583A21" w:rsidR="0011691A" w:rsidRDefault="00D31B68" w:rsidP="0011691A">
      <w:pPr>
        <w:pStyle w:val="BodyText"/>
        <w:jc w:val="center"/>
        <w:rPr>
          <w:b/>
          <w:szCs w:val="24"/>
        </w:rPr>
      </w:pPr>
      <w:r>
        <w:rPr>
          <w:b/>
          <w:szCs w:val="24"/>
        </w:rPr>
        <w:t>December</w:t>
      </w:r>
      <w:r w:rsidR="00871795">
        <w:rPr>
          <w:b/>
          <w:szCs w:val="24"/>
        </w:rPr>
        <w:t xml:space="preserve"> 1</w:t>
      </w:r>
      <w:r>
        <w:rPr>
          <w:b/>
          <w:szCs w:val="24"/>
        </w:rPr>
        <w:t>2</w:t>
      </w:r>
      <w:r w:rsidR="00272D57">
        <w:rPr>
          <w:b/>
          <w:szCs w:val="24"/>
        </w:rPr>
        <w:t>, 201</w:t>
      </w:r>
      <w:r w:rsidR="00DC7069">
        <w:rPr>
          <w:b/>
          <w:szCs w:val="24"/>
        </w:rPr>
        <w:t>9</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AE5D3E"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 xml:space="preserve">A type of Operating Condition Notice (OCN) that identifies a possible future Emergency Condition and describes future action ERCOT expects to take to address that condition unless </w:t>
            </w:r>
            <w:r w:rsidRPr="00F057BA">
              <w:lastRenderedPageBreak/>
              <w:t>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lastRenderedPageBreak/>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lastRenderedPageBreak/>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lastRenderedPageBreak/>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6" w:name="_Toc118224397"/>
      <w:bookmarkStart w:id="77" w:name="_Toc118909465"/>
      <w:bookmarkStart w:id="78" w:name="_Toc205190261"/>
      <w:bookmarkEnd w:id="75"/>
      <w:r w:rsidRPr="00D5497B">
        <w:rPr>
          <w:b/>
        </w:rPr>
        <w:t>Availability Plan</w:t>
      </w:r>
      <w:bookmarkEnd w:id="76"/>
      <w:bookmarkEnd w:id="77"/>
      <w:bookmarkEnd w:id="78"/>
    </w:p>
    <w:p w14:paraId="1FF2E3F1" w14:textId="77777777" w:rsidR="005D1947" w:rsidRDefault="00A442A0">
      <w:pPr>
        <w:pStyle w:val="BodyText"/>
      </w:pPr>
      <w:r>
        <w:t>An hourly representation of availability of Reliability Must-Run (RMR) Units</w:t>
      </w:r>
      <w:r w:rsidR="00672C1D">
        <w:t xml:space="preserve"> or</w:t>
      </w:r>
      <w:r>
        <w:t xml:space="preserve"> Synchronous Condenser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w:t>
      </w:r>
      <w:r w:rsidR="00672C1D">
        <w:t>, Synchronous Condenser Units</w:t>
      </w:r>
      <w:r>
        <w:t xml:space="preserve">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7777777" w:rsidR="00AE6DA3" w:rsidRPr="0044555C" w:rsidRDefault="00AE6DA3" w:rsidP="0065237A">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t>,</w:t>
            </w:r>
            <w:r w:rsidRPr="00192FAF">
              <w:rPr>
                <w:iCs/>
              </w:rPr>
              <w:t xml:space="preserve"> or Synchronous Condenser Units,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 xml:space="preserve">MRAs, </w:t>
            </w:r>
            <w:r w:rsidR="0065237A" w:rsidRPr="00192FAF">
              <w:rPr>
                <w:iCs/>
              </w:rPr>
              <w:t>Synchronous Condenser Units</w:t>
            </w:r>
            <w:r w:rsidR="0065237A">
              <w:rPr>
                <w:iCs/>
              </w:rPr>
              <w:t>,</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AE5D3E">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lastRenderedPageBreak/>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1584D" w:rsidRPr="004B32CF" w14:paraId="650160CF" w14:textId="77777777" w:rsidTr="0046745C">
        <w:trPr>
          <w:trHeight w:val="386"/>
        </w:trPr>
        <w:tc>
          <w:tcPr>
            <w:tcW w:w="9350" w:type="dxa"/>
            <w:shd w:val="pct12" w:color="auto" w:fill="auto"/>
          </w:tcPr>
          <w:p w14:paraId="3F800FC7" w14:textId="77777777" w:rsidR="00C1584D" w:rsidRPr="004B32CF" w:rsidRDefault="00C1584D" w:rsidP="0046745C">
            <w:pPr>
              <w:spacing w:before="120" w:after="240"/>
              <w:rPr>
                <w:b/>
                <w:i/>
                <w:iCs/>
              </w:rPr>
            </w:pPr>
            <w:r>
              <w:rPr>
                <w:b/>
                <w:i/>
                <w:iCs/>
              </w:rPr>
              <w:t>[NPRR943</w:t>
            </w:r>
            <w:r w:rsidRPr="004B32CF">
              <w:rPr>
                <w:b/>
                <w:i/>
                <w:iCs/>
              </w:rPr>
              <w:t xml:space="preserve">:  </w:t>
            </w:r>
            <w:r>
              <w:rPr>
                <w:b/>
                <w:i/>
                <w:iCs/>
              </w:rPr>
              <w:t>Insert item (b) below</w:t>
            </w:r>
            <w:r w:rsidRPr="004B32CF">
              <w:rPr>
                <w:b/>
                <w:i/>
                <w:iCs/>
              </w:rPr>
              <w:t xml:space="preserve"> upon system implementation</w:t>
            </w:r>
            <w:r>
              <w:rPr>
                <w:b/>
                <w:i/>
                <w:iCs/>
              </w:rPr>
              <w:t xml:space="preserve"> and renumber accordingly</w:t>
            </w:r>
            <w:r w:rsidRPr="004B32CF">
              <w:rPr>
                <w:b/>
                <w:i/>
                <w:iCs/>
              </w:rPr>
              <w:t>:]</w:t>
            </w:r>
          </w:p>
          <w:p w14:paraId="2EEA13AB" w14:textId="77777777" w:rsidR="00C1584D" w:rsidRPr="00F7520C" w:rsidRDefault="00E60263" w:rsidP="00634827">
            <w:pPr>
              <w:pStyle w:val="List"/>
            </w:pPr>
            <w:r>
              <w:t>(b)</w:t>
            </w:r>
            <w:r>
              <w:tab/>
            </w:r>
            <w:r w:rsidRPr="00E60263">
              <w:t>Martin Luther King, Jr. Day;</w:t>
            </w:r>
          </w:p>
        </w:tc>
      </w:tr>
    </w:tbl>
    <w:p w14:paraId="00EBCF4D" w14:textId="77777777" w:rsidR="005D1947" w:rsidRDefault="00A442A0" w:rsidP="00B17B3F">
      <w:pPr>
        <w:pStyle w:val="List"/>
        <w:spacing w:before="240"/>
      </w:pPr>
      <w:r>
        <w:t>(b)</w:t>
      </w:r>
      <w:r>
        <w:tab/>
        <w:t>Memorial Day;</w:t>
      </w:r>
    </w:p>
    <w:p w14:paraId="717C783D" w14:textId="77777777" w:rsidR="005D1947" w:rsidRDefault="00A442A0">
      <w:pPr>
        <w:pStyle w:val="List"/>
      </w:pPr>
      <w:r>
        <w:t>(c)</w:t>
      </w:r>
      <w:r>
        <w:tab/>
        <w:t>Independence Day;</w:t>
      </w:r>
    </w:p>
    <w:p w14:paraId="4F1DB000" w14:textId="77777777" w:rsidR="005D1947" w:rsidRDefault="00A442A0">
      <w:pPr>
        <w:pStyle w:val="List"/>
      </w:pPr>
      <w:r>
        <w:t>(d)</w:t>
      </w:r>
      <w:r>
        <w:tab/>
        <w:t>Labor Day;</w:t>
      </w:r>
    </w:p>
    <w:p w14:paraId="40F5CE56" w14:textId="77777777" w:rsidR="005D1947" w:rsidRDefault="00A442A0">
      <w:pPr>
        <w:pStyle w:val="List"/>
      </w:pPr>
      <w:r>
        <w:t>(e)</w:t>
      </w:r>
      <w:r>
        <w:tab/>
        <w:t>Thanksgiving Thursday and Friday; and</w:t>
      </w:r>
    </w:p>
    <w:p w14:paraId="30F98705" w14:textId="77777777" w:rsidR="005D1947" w:rsidRDefault="00A442A0">
      <w:pPr>
        <w:pStyle w:val="List"/>
      </w:pPr>
      <w:r>
        <w:t>(f)</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lastRenderedPageBreak/>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8" w:name="C"/>
      <w:bookmarkEnd w:id="118"/>
    </w:p>
    <w:p w14:paraId="29FA7742" w14:textId="77777777" w:rsidR="00B75513" w:rsidRDefault="00AE5D3E">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lastRenderedPageBreak/>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lastRenderedPageBreak/>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p w14:paraId="602EC38A" w14:textId="77777777" w:rsidR="005D1947" w:rsidRPr="00D5497B" w:rsidRDefault="00A442A0">
      <w:pPr>
        <w:pStyle w:val="H2"/>
        <w:rPr>
          <w:b/>
        </w:rPr>
      </w:pPr>
      <w:bookmarkStart w:id="175" w:name="_Toc118224423"/>
      <w:bookmarkStart w:id="176" w:name="_Toc118909491"/>
      <w:bookmarkStart w:id="177" w:name="_Toc205190299"/>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344C053E" w14:textId="77777777" w:rsidR="005D1947" w:rsidRDefault="00A442A0">
      <w:pPr>
        <w:pStyle w:val="BodyText"/>
        <w:keepNext/>
        <w:rPr>
          <w:b/>
          <w:sz w:val="40"/>
          <w:szCs w:val="40"/>
        </w:rPr>
      </w:pPr>
      <w:bookmarkStart w:id="194" w:name="D"/>
      <w:bookmarkEnd w:id="194"/>
      <w:r>
        <w:rPr>
          <w:b/>
          <w:sz w:val="40"/>
          <w:szCs w:val="40"/>
        </w:rPr>
        <w:t>D</w:t>
      </w:r>
    </w:p>
    <w:p w14:paraId="6371DC2F" w14:textId="77777777" w:rsidR="00B75513" w:rsidRDefault="00AE5D3E">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t>Delivery Plan</w:t>
      </w:r>
      <w:bookmarkEnd w:id="227"/>
      <w:bookmarkEnd w:id="228"/>
      <w:bookmarkEnd w:id="229"/>
      <w:bookmarkEnd w:id="230"/>
    </w:p>
    <w:p w14:paraId="64670244" w14:textId="77777777" w:rsidR="005D1947" w:rsidRDefault="00A442A0">
      <w:pPr>
        <w:pStyle w:val="BodyText"/>
      </w:pPr>
      <w:r>
        <w:t>A plan by ERCOT containing the hours and levels of operation that a</w:t>
      </w:r>
      <w:r w:rsidR="002965B0">
        <w:t>n RMR</w:t>
      </w:r>
      <w:r>
        <w:t xml:space="preserve"> Unit, including a </w:t>
      </w:r>
      <w:r w:rsidR="002965B0">
        <w:t>S</w:t>
      </w:r>
      <w:r>
        <w:t xml:space="preserve">ynchronous </w:t>
      </w:r>
      <w:r w:rsidR="002965B0">
        <w:t>C</w:t>
      </w:r>
      <w:r>
        <w:t xml:space="preserve">ondenser </w:t>
      </w:r>
      <w:r w:rsidR="002965B0">
        <w:t>U</w:t>
      </w:r>
      <w:r>
        <w:t>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lastRenderedPageBreak/>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lastRenderedPageBreak/>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4" w:name="E"/>
      <w:bookmarkEnd w:id="284"/>
    </w:p>
    <w:p w14:paraId="277AE507" w14:textId="77777777" w:rsidR="00B75513" w:rsidRDefault="00AE5D3E">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lastRenderedPageBreak/>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lastRenderedPageBreak/>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lastRenderedPageBreak/>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lastRenderedPageBreak/>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5CD8EAA5" w14:textId="77777777" w:rsidR="005D1947" w:rsidRPr="00D5497B" w:rsidRDefault="00A442A0">
      <w:pPr>
        <w:pStyle w:val="H2"/>
        <w:rPr>
          <w:b/>
        </w:rPr>
      </w:pPr>
      <w:bookmarkStart w:id="336" w:name="_Toc118224467"/>
      <w:bookmarkStart w:id="337" w:name="_Toc118909535"/>
      <w:bookmarkStart w:id="338" w:name="_Toc205190351"/>
      <w:bookmarkStart w:id="339" w:name="_Toc73847766"/>
      <w:bookmarkEnd w:id="332"/>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lastRenderedPageBreak/>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63A4EF0B" w14:textId="77777777" w:rsidR="005D1947" w:rsidRPr="00D5497B" w:rsidRDefault="00A442A0" w:rsidP="00AC2EA0">
      <w:pPr>
        <w:pStyle w:val="H2"/>
        <w:spacing w:before="480"/>
        <w:rPr>
          <w:b/>
        </w:rPr>
      </w:pPr>
      <w:r w:rsidRPr="00D5497B">
        <w:rPr>
          <w:b/>
        </w:rPr>
        <w:lastRenderedPageBreak/>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6F3E9569" w14:textId="77777777" w:rsidR="005D1947" w:rsidRPr="00D5497B" w:rsidRDefault="00A442A0">
      <w:pPr>
        <w:pStyle w:val="H2"/>
        <w:rPr>
          <w:b/>
        </w:rPr>
      </w:pPr>
      <w:bookmarkStart w:id="363" w:name="_Toc80425538"/>
      <w:bookmarkStart w:id="364" w:name="_Toc118224477"/>
      <w:bookmarkStart w:id="365" w:name="_Toc118909545"/>
      <w:bookmarkStart w:id="366" w:name="_Toc205190361"/>
      <w:bookmarkStart w:id="367" w:name="_Toc73847776"/>
      <w:bookmarkEnd w:id="362"/>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lastRenderedPageBreak/>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AE5D3E">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4599" w14:paraId="56D924D9" w14:textId="77777777" w:rsidTr="00F200B7">
        <w:trPr>
          <w:trHeight w:val="476"/>
        </w:trPr>
        <w:tc>
          <w:tcPr>
            <w:tcW w:w="9576" w:type="dxa"/>
            <w:shd w:val="clear" w:color="auto" w:fill="E0E0E0"/>
          </w:tcPr>
          <w:p w14:paraId="5E572586" w14:textId="77777777" w:rsidR="00D64599" w:rsidRPr="00625E9F" w:rsidRDefault="00D64599" w:rsidP="00F200B7">
            <w:pPr>
              <w:pStyle w:val="Instructions"/>
              <w:spacing w:before="120"/>
              <w:rPr>
                <w:lang w:val="en-US" w:eastAsia="en-US"/>
              </w:rPr>
            </w:pPr>
            <w:bookmarkStart w:id="372" w:name="_Toc205190363"/>
            <w:r>
              <w:rPr>
                <w:lang w:val="en-US" w:eastAsia="en-US"/>
              </w:rPr>
              <w:t>[NPRR863</w:t>
            </w:r>
            <w:r w:rsidRPr="00625E9F">
              <w:rPr>
                <w:lang w:val="en-US" w:eastAsia="en-US"/>
              </w:rPr>
              <w:t>:  Insert the following definition “</w:t>
            </w:r>
            <w:r w:rsidRPr="00D64599">
              <w:rPr>
                <w:lang w:val="en-US" w:eastAsia="en-US"/>
              </w:rPr>
              <w:t>Fast Frequency Response (FFR)</w:t>
            </w:r>
            <w:r w:rsidRPr="00625E9F">
              <w:rPr>
                <w:lang w:val="en-US" w:eastAsia="en-US"/>
              </w:rPr>
              <w:t>” upon system implementation:]</w:t>
            </w:r>
          </w:p>
          <w:p w14:paraId="504763F0" w14:textId="77777777" w:rsidR="00D64599" w:rsidRPr="0003648D" w:rsidRDefault="00D64599" w:rsidP="00D64599">
            <w:pPr>
              <w:pStyle w:val="H3"/>
              <w:tabs>
                <w:tab w:val="left" w:pos="720"/>
              </w:tabs>
              <w:spacing w:before="0"/>
              <w:ind w:left="0" w:firstLine="0"/>
              <w:rPr>
                <w:i w:val="0"/>
              </w:rPr>
            </w:pPr>
            <w:r w:rsidRPr="0003648D">
              <w:rPr>
                <w:i w:val="0"/>
              </w:rPr>
              <w:t xml:space="preserve">Fast Frequency Response (FFR) </w:t>
            </w:r>
          </w:p>
          <w:p w14:paraId="5DD1DB5B" w14:textId="77777777" w:rsidR="00D64599" w:rsidRPr="00D64599" w:rsidRDefault="00D64599" w:rsidP="00D64599">
            <w:pPr>
              <w:keepNext/>
              <w:tabs>
                <w:tab w:val="left" w:pos="540"/>
              </w:tabs>
              <w:spacing w:after="240"/>
              <w:outlineLvl w:val="1"/>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w:t>
            </w:r>
            <w:r w:rsidRPr="0003648D">
              <w:lastRenderedPageBreak/>
              <w:t>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r w:rsidR="00112B5C">
              <w:rPr>
                <w:rFonts w:eastAsia="Calibri"/>
              </w:rPr>
              <w:t>.</w:t>
            </w:r>
          </w:p>
        </w:tc>
      </w:tr>
    </w:tbl>
    <w:p w14:paraId="63677D29" w14:textId="77777777" w:rsidR="00973153" w:rsidRDefault="00973153" w:rsidP="00AC2EA0">
      <w:pPr>
        <w:pStyle w:val="H2"/>
        <w:keepNext w:val="0"/>
        <w:spacing w:before="480"/>
        <w:ind w:left="907" w:hanging="907"/>
        <w:rPr>
          <w:b/>
        </w:rPr>
      </w:pPr>
      <w:r>
        <w:rPr>
          <w:b/>
          <w:iCs/>
        </w:rPr>
        <w:lastRenderedPageBreak/>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lastRenderedPageBreak/>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lastRenderedPageBreak/>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AE5D3E">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w:t>
      </w:r>
      <w:r>
        <w:lastRenderedPageBreak/>
        <w:t xml:space="preserve">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5542B0F4" w14:textId="77777777" w:rsidR="00A123CA" w:rsidRPr="00D5497B" w:rsidRDefault="00A123CA" w:rsidP="00A123CA">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lastRenderedPageBreak/>
        <w:t>H</w:t>
      </w:r>
      <w:bookmarkStart w:id="417" w:name="H"/>
      <w:bookmarkEnd w:id="417"/>
    </w:p>
    <w:p w14:paraId="416FBECD" w14:textId="77777777" w:rsidR="00B75513" w:rsidRDefault="00AE5D3E">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lastRenderedPageBreak/>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AE5D3E"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lastRenderedPageBreak/>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lastRenderedPageBreak/>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60250" w14:paraId="30C61D29" w14:textId="77777777" w:rsidTr="00EC749A">
        <w:trPr>
          <w:trHeight w:val="476"/>
        </w:trPr>
        <w:tc>
          <w:tcPr>
            <w:tcW w:w="9576" w:type="dxa"/>
            <w:shd w:val="clear" w:color="auto" w:fill="E0E0E0"/>
          </w:tcPr>
          <w:p w14:paraId="1CD76243" w14:textId="77777777" w:rsidR="00C60250" w:rsidRPr="00625E9F" w:rsidRDefault="00C60250" w:rsidP="00EC749A">
            <w:pPr>
              <w:pStyle w:val="Instructions"/>
              <w:spacing w:before="120"/>
              <w:rPr>
                <w:lang w:val="en-US" w:eastAsia="en-US"/>
              </w:rPr>
            </w:pPr>
            <w:r>
              <w:rPr>
                <w:lang w:val="en-US" w:eastAsia="en-US"/>
              </w:rPr>
              <w:t>[NPRR873</w:t>
            </w:r>
            <w:r w:rsidRPr="00625E9F">
              <w:rPr>
                <w:lang w:val="en-US" w:eastAsia="en-US"/>
              </w:rPr>
              <w:t>:  Insert the following definition “</w:t>
            </w:r>
            <w:r w:rsidRPr="00C60250">
              <w:rPr>
                <w:lang w:val="en-US" w:eastAsia="en-US"/>
              </w:rPr>
              <w:t>Intra-Hour Load Forecast (IHLF)</w:t>
            </w:r>
            <w:r w:rsidRPr="00625E9F">
              <w:rPr>
                <w:lang w:val="en-US" w:eastAsia="en-US"/>
              </w:rPr>
              <w:t>” upon system implementation:]</w:t>
            </w:r>
          </w:p>
          <w:p w14:paraId="0DE17737" w14:textId="77777777" w:rsidR="00C60250" w:rsidRPr="00C60250" w:rsidRDefault="00C60250" w:rsidP="00C60250">
            <w:pPr>
              <w:spacing w:after="240"/>
              <w:rPr>
                <w:color w:val="000000"/>
              </w:rPr>
            </w:pPr>
            <w:r w:rsidRPr="00C60250">
              <w:rPr>
                <w:b/>
                <w:color w:val="000000"/>
              </w:rPr>
              <w:t>Intra-Hour Load Forecast (IHLF)</w:t>
            </w:r>
          </w:p>
          <w:p w14:paraId="1DA7286A" w14:textId="77777777" w:rsidR="00C60250" w:rsidRPr="00467300" w:rsidRDefault="00C60250" w:rsidP="00C60250">
            <w:pPr>
              <w:spacing w:after="240"/>
              <w:rPr>
                <w:color w:val="000000"/>
              </w:rPr>
            </w:pPr>
            <w:r w:rsidRPr="00C60250">
              <w:rPr>
                <w:color w:val="000000"/>
              </w:rPr>
              <w:t>The Load forecast in five minute increments.</w:t>
            </w:r>
          </w:p>
        </w:tc>
      </w:tr>
    </w:tbl>
    <w:p w14:paraId="3B597FA4" w14:textId="77777777" w:rsidR="005A5900" w:rsidRDefault="005A5900" w:rsidP="005A5900">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292747">
        <w:trPr>
          <w:trHeight w:val="476"/>
        </w:trPr>
        <w:tc>
          <w:tcPr>
            <w:tcW w:w="9576"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6FD9BDEA" w14:textId="77777777" w:rsidR="00C60250" w:rsidRDefault="00C60250" w:rsidP="00C81CB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60250" w14:paraId="60886514" w14:textId="77777777" w:rsidTr="00EC749A">
        <w:trPr>
          <w:trHeight w:val="476"/>
        </w:trPr>
        <w:tc>
          <w:tcPr>
            <w:tcW w:w="9576" w:type="dxa"/>
            <w:shd w:val="clear" w:color="auto" w:fill="E0E0E0"/>
          </w:tcPr>
          <w:p w14:paraId="0F57B305" w14:textId="77777777" w:rsidR="00C60250" w:rsidRPr="00625E9F" w:rsidRDefault="00C60250" w:rsidP="00EC749A">
            <w:pPr>
              <w:pStyle w:val="Instructions"/>
              <w:spacing w:before="120"/>
              <w:rPr>
                <w:lang w:val="en-US" w:eastAsia="en-US"/>
              </w:rPr>
            </w:pPr>
            <w:r>
              <w:rPr>
                <w:lang w:val="en-US" w:eastAsia="en-US"/>
              </w:rPr>
              <w:t>[NPRR873</w:t>
            </w:r>
            <w:r w:rsidRPr="00625E9F">
              <w:rPr>
                <w:lang w:val="en-US" w:eastAsia="en-US"/>
              </w:rPr>
              <w:t>:  Insert the following definition “</w:t>
            </w:r>
            <w:r w:rsidRPr="00C60250">
              <w:rPr>
                <w:lang w:val="en-US" w:eastAsia="en-US"/>
              </w:rPr>
              <w:t>Intra-Hour Wind Power Forecast (IHWPF)</w:t>
            </w:r>
            <w:r w:rsidRPr="00625E9F">
              <w:rPr>
                <w:lang w:val="en-US" w:eastAsia="en-US"/>
              </w:rPr>
              <w:t>” upon system implementation:]</w:t>
            </w:r>
          </w:p>
          <w:p w14:paraId="327B87C8" w14:textId="77777777" w:rsidR="00C60250" w:rsidRPr="00C60250" w:rsidRDefault="00C60250" w:rsidP="00C60250">
            <w:pPr>
              <w:spacing w:after="240"/>
              <w:rPr>
                <w:color w:val="000000"/>
              </w:rPr>
            </w:pPr>
            <w:r w:rsidRPr="00C60250">
              <w:rPr>
                <w:b/>
                <w:color w:val="000000"/>
              </w:rPr>
              <w:t>Intra-Hour Wind Power Forecast (IHWPF)</w:t>
            </w:r>
          </w:p>
          <w:p w14:paraId="4814C9A4" w14:textId="77777777" w:rsidR="00C60250" w:rsidRPr="00467300" w:rsidRDefault="00C60250" w:rsidP="00C60250">
            <w:pPr>
              <w:spacing w:after="240"/>
              <w:rPr>
                <w:color w:val="000000"/>
              </w:rPr>
            </w:pPr>
            <w:r w:rsidRPr="00C60250">
              <w:rPr>
                <w:color w:val="000000"/>
              </w:rPr>
              <w:t>The forecast of wind generation in MW in five minute increments.</w:t>
            </w:r>
          </w:p>
        </w:tc>
      </w:tr>
    </w:tbl>
    <w:p w14:paraId="6B9A9B90" w14:textId="77777777" w:rsidR="005D1947" w:rsidRPr="00D5497B" w:rsidRDefault="00A442A0" w:rsidP="00C81CB2">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lastRenderedPageBreak/>
        <w:t>J</w:t>
      </w:r>
      <w:bookmarkStart w:id="465" w:name="J"/>
      <w:bookmarkEnd w:id="465"/>
    </w:p>
    <w:p w14:paraId="1A92D968" w14:textId="77777777" w:rsidR="00B75513" w:rsidRDefault="00AE5D3E">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AE5D3E">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AE5D3E">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5C488E41" w14:textId="77777777" w:rsidR="00A2517C" w:rsidRDefault="00A2517C">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Pr>
            <w:rStyle w:val="Hyperlink"/>
            <w:b/>
          </w:rPr>
          <w:t>Resource Attribute</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w:t>
      </w:r>
      <w:r w:rsidRPr="009B57E7">
        <w:rPr>
          <w:szCs w:val="24"/>
        </w:rPr>
        <w:lastRenderedPageBreak/>
        <w:t xml:space="preserve">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lastRenderedPageBreak/>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lastRenderedPageBreak/>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AE5D3E">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lastRenderedPageBreak/>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lastRenderedPageBreak/>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p w14:paraId="419BBFF8" w14:textId="77777777" w:rsidR="005D1947" w:rsidRPr="004222A1" w:rsidRDefault="00A442A0">
      <w:pPr>
        <w:pStyle w:val="H2"/>
        <w:rPr>
          <w:b/>
        </w:rPr>
      </w:pPr>
      <w:bookmarkStart w:id="603" w:name="_Toc118224534"/>
      <w:bookmarkStart w:id="604" w:name="_Toc118909602"/>
      <w:bookmarkStart w:id="605" w:name="_Toc205190425"/>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lastRenderedPageBreak/>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lastRenderedPageBreak/>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AE5D3E">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lastRenderedPageBreak/>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 xml:space="preserve">The telemetered portion of a Generation Resource’s HSL that represents the sustainable non-Dispatched power augmentation capability from duct firing, inlet air cooling, auxiliary boilers, or other methods which does not immediately respond, arrest, or stabilize frequency excursions </w:t>
      </w:r>
      <w:r w:rsidRPr="00D3700F">
        <w:rPr>
          <w:iCs w:val="0"/>
        </w:rPr>
        <w:lastRenderedPageBreak/>
        <w:t>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52" w:name="O"/>
      <w:bookmarkEnd w:id="652"/>
    </w:p>
    <w:p w14:paraId="75F58771" w14:textId="77777777" w:rsidR="00B75513" w:rsidRDefault="00AE5D3E">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lastRenderedPageBreak/>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lastRenderedPageBreak/>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8" w:name="_Toc118224562"/>
            <w:bookmarkStart w:id="709" w:name="_Toc118909630"/>
            <w:bookmarkStart w:id="710" w:name="_Toc205190455"/>
            <w:bookmarkEnd w:id="685"/>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1" w:name="_Toc73847896"/>
      <w:bookmarkStart w:id="712" w:name="_Toc80425684"/>
      <w:bookmarkStart w:id="713" w:name="_Toc118224563"/>
      <w:bookmarkStart w:id="714" w:name="_Toc118909631"/>
      <w:bookmarkStart w:id="715" w:name="_Toc205190456"/>
      <w:bookmarkEnd w:id="708"/>
      <w:bookmarkEnd w:id="709"/>
      <w:bookmarkEnd w:id="710"/>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3A7390">
        <w:trPr>
          <w:trHeight w:val="386"/>
        </w:trPr>
        <w:tc>
          <w:tcPr>
            <w:tcW w:w="9350" w:type="dxa"/>
            <w:shd w:val="pct12" w:color="auto" w:fill="auto"/>
          </w:tcPr>
          <w:p w14:paraId="2E2F0DA6" w14:textId="77777777" w:rsidR="004B66D2" w:rsidRPr="004B32CF" w:rsidRDefault="004B66D2" w:rsidP="003A7390">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3A7390">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3A7390">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lastRenderedPageBreak/>
        <w:t>P</w:t>
      </w:r>
      <w:bookmarkStart w:id="716" w:name="P"/>
      <w:bookmarkEnd w:id="716"/>
    </w:p>
    <w:p w14:paraId="44945531" w14:textId="77777777" w:rsidR="003F0F8C" w:rsidRDefault="00AE5D3E"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lastRenderedPageBreak/>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w:t>
      </w:r>
      <w:r w:rsidRPr="00360E45">
        <w:lastRenderedPageBreak/>
        <w:t xml:space="preserve">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1" w:name="_Toc80425694"/>
      <w:bookmarkStart w:id="732" w:name="_Toc118224567"/>
      <w:bookmarkStart w:id="733" w:name="_Toc118909635"/>
      <w:bookmarkStart w:id="734" w:name="_Toc205190463"/>
      <w:bookmarkStart w:id="735" w:name="_Toc73847905"/>
      <w:bookmarkEnd w:id="730"/>
      <w:r w:rsidRPr="004222A1">
        <w:rPr>
          <w:b/>
        </w:rPr>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AE5D3E">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lastRenderedPageBreak/>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lastRenderedPageBreak/>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lastRenderedPageBreak/>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4" w:name="R"/>
      <w:bookmarkEnd w:id="764"/>
    </w:p>
    <w:p w14:paraId="29A2C034" w14:textId="77777777" w:rsidR="00B75513" w:rsidRDefault="00AE5D3E">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lastRenderedPageBreak/>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667A09C1" w14:textId="77777777" w:rsidR="005D1947" w:rsidRPr="004222A1" w:rsidRDefault="00A442A0">
      <w:pPr>
        <w:pStyle w:val="H2"/>
        <w:rPr>
          <w:b/>
        </w:rPr>
      </w:pPr>
      <w:bookmarkStart w:id="779" w:name="_Toc118224579"/>
      <w:bookmarkStart w:id="780" w:name="_Toc118909647"/>
      <w:bookmarkStart w:id="781" w:name="_Toc205190476"/>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t>Real-Time</w:t>
      </w:r>
      <w:bookmarkEnd w:id="782"/>
      <w:bookmarkEnd w:id="783"/>
      <w:bookmarkEnd w:id="784"/>
      <w:bookmarkEnd w:id="785"/>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lastRenderedPageBreak/>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 xml:space="preserve">A subset of Regulation Service that consists of either Fast Responding Regulation Down Service (FRRS-Down) or Fast Responding Regulation Up Service (FRRS-Up).  Except </w:t>
      </w:r>
      <w:r w:rsidRPr="00626DF5">
        <w:rPr>
          <w:b w:val="0"/>
          <w:i w:val="0"/>
        </w:rPr>
        <w:lastRenderedPageBreak/>
        <w:t>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4" w:name="_Toc73847926"/>
      <w:bookmarkStart w:id="795" w:name="_Toc118224584"/>
      <w:bookmarkStart w:id="796" w:name="_Toc118909652"/>
      <w:bookmarkStart w:id="797"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10CA032A" w14:textId="77777777" w:rsidR="00CE3945" w:rsidRPr="00CE3945" w:rsidRDefault="00CE3945" w:rsidP="00CE3945">
      <w:pPr>
        <w:keepNext/>
        <w:tabs>
          <w:tab w:val="left" w:pos="900"/>
        </w:tabs>
        <w:spacing w:before="240" w:after="240"/>
        <w:ind w:left="900" w:hanging="900"/>
        <w:outlineLvl w:val="1"/>
      </w:pPr>
      <w:bookmarkStart w:id="798" w:name="_Toc80425722"/>
      <w:bookmarkStart w:id="799" w:name="_Toc118224585"/>
      <w:bookmarkStart w:id="800" w:name="_Toc118909653"/>
      <w:bookmarkStart w:id="801" w:name="_Toc205190484"/>
      <w:bookmarkStart w:id="802" w:name="_Toc73847928"/>
      <w:r w:rsidRPr="00CE3945">
        <w:rPr>
          <w:b/>
        </w:rPr>
        <w:lastRenderedPageBreak/>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lastRenderedPageBreak/>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_Toc205190488"/>
      <w:bookmarkStart w:id="817" w:name="_Toc73847932"/>
      <w:bookmarkStart w:id="818" w:name="_Toc118224589"/>
      <w:bookmarkStart w:id="819" w:name="_Toc118909657"/>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p w14:paraId="540EEB92" w14:textId="77777777" w:rsidR="005D1947" w:rsidRPr="004222A1" w:rsidRDefault="00A442A0">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lastRenderedPageBreak/>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lastRenderedPageBreak/>
        <w:t>Resource</w:t>
      </w:r>
      <w:bookmarkStart w:id="828" w:name="Resource"/>
      <w:bookmarkEnd w:id="823"/>
      <w:bookmarkEnd w:id="824"/>
      <w:bookmarkEnd w:id="825"/>
      <w:bookmarkEnd w:id="827"/>
      <w:bookmarkEnd w:id="828"/>
    </w:p>
    <w:p w14:paraId="7E0CFA64" w14:textId="331CD536" w:rsidR="00EC043C" w:rsidRDefault="00C431B2">
      <w:pPr>
        <w:keepNext/>
        <w:tabs>
          <w:tab w:val="left" w:pos="435"/>
          <w:tab w:val="left" w:pos="570"/>
          <w:tab w:val="left" w:pos="900"/>
        </w:tabs>
        <w:autoSpaceDE w:val="0"/>
        <w:autoSpaceDN w:val="0"/>
        <w:adjustRightInd w:val="0"/>
        <w:spacing w:after="240"/>
      </w:pPr>
      <w:r w:rsidRPr="00C83EFD">
        <w:t>The term is used to refer to both a Generation Resource and a Load Resource.</w:t>
      </w:r>
    </w:p>
    <w:p w14:paraId="52BF973F" w14:textId="4C6597AF" w:rsidR="00CC0A31" w:rsidRPr="00947983" w:rsidRDefault="00CC0A31" w:rsidP="00CC0A31">
      <w:pPr>
        <w:spacing w:after="24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DC3611">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lastRenderedPageBreak/>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4212B2E6" w14:textId="77777777" w:rsidR="00CC0A31" w:rsidRPr="006827FB" w:rsidRDefault="00CC0A31" w:rsidP="00CC0A31">
      <w:pPr>
        <w:spacing w:after="24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77777777"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0C0B60B2" w14:textId="77777777" w:rsidR="00CC0A31" w:rsidRPr="00947983" w:rsidRDefault="00CC0A31" w:rsidP="00CC0A31">
      <w:pPr>
        <w:keepNext/>
        <w:spacing w:before="240" w:after="120"/>
        <w:ind w:left="360"/>
        <w:outlineLvl w:val="2"/>
        <w:rPr>
          <w:b/>
          <w:bCs/>
          <w:i/>
          <w:lang w:val="x-none" w:eastAsia="x-none"/>
        </w:rPr>
      </w:pPr>
      <w:r w:rsidRPr="00947983">
        <w:rPr>
          <w:b/>
          <w:bCs/>
          <w:i/>
          <w:lang w:val="x-none" w:eastAsia="x-none"/>
        </w:rPr>
        <w:lastRenderedPageBreak/>
        <w:t>Load Resource</w:t>
      </w:r>
    </w:p>
    <w:p w14:paraId="2B89539F" w14:textId="77777777" w:rsidR="00CC0A31" w:rsidRPr="00947983" w:rsidRDefault="00CC0A31" w:rsidP="00CC0A31">
      <w:pPr>
        <w:spacing w:after="240"/>
        <w:ind w:left="360"/>
        <w:rPr>
          <w:iCs/>
        </w:rPr>
      </w:pPr>
      <w:r w:rsidRPr="00947983">
        <w:rPr>
          <w:iCs/>
        </w:rPr>
        <w:t>A Load capable of providing Ancillary Service to the ERCOT System and/or energy in the form of Demand response and registered with ERCOT as a Load Resource.</w:t>
      </w:r>
    </w:p>
    <w:p w14:paraId="4E59D520" w14:textId="77777777" w:rsidR="00CC0A31" w:rsidRPr="00947983" w:rsidRDefault="00CC0A31" w:rsidP="00CC0A31">
      <w:pPr>
        <w:keepNext/>
        <w:widowControl w:val="0"/>
        <w:tabs>
          <w:tab w:val="left" w:pos="1260"/>
        </w:tabs>
        <w:spacing w:before="240" w:after="120"/>
        <w:ind w:left="720"/>
        <w:outlineLvl w:val="3"/>
        <w:rPr>
          <w:b/>
          <w:bCs/>
          <w:i/>
          <w:snapToGrid w:val="0"/>
          <w:lang w:val="x-none" w:eastAsia="x-none"/>
        </w:rPr>
      </w:pPr>
      <w:r w:rsidRPr="00947983">
        <w:rPr>
          <w:b/>
          <w:bCs/>
          <w:i/>
          <w:snapToGrid w:val="0"/>
          <w:lang w:val="x-none" w:eastAsia="x-none"/>
        </w:rPr>
        <w:t>Aggregate Load Resource (ALR)</w:t>
      </w:r>
    </w:p>
    <w:p w14:paraId="675208B6" w14:textId="77777777" w:rsidR="00CC0A31" w:rsidRPr="00947983" w:rsidRDefault="00CC0A31" w:rsidP="00CC0A31">
      <w:pPr>
        <w:spacing w:after="240"/>
        <w:ind w:left="720"/>
        <w:rPr>
          <w:iCs/>
        </w:rPr>
      </w:pPr>
      <w:r w:rsidRPr="00947983">
        <w:rPr>
          <w:iCs/>
        </w:rPr>
        <w:t>A Load Resource that is an aggregation of individual metered sites, each of which has less than ten MW of Demand response capability and all of which are located within a single Load Zone.</w:t>
      </w:r>
    </w:p>
    <w:p w14:paraId="51251106" w14:textId="77777777" w:rsidR="00CC0A31" w:rsidRPr="00947983" w:rsidRDefault="00CC0A31" w:rsidP="00CC0A31">
      <w:pPr>
        <w:keepNext/>
        <w:widowControl w:val="0"/>
        <w:tabs>
          <w:tab w:val="left" w:pos="1260"/>
        </w:tabs>
        <w:spacing w:before="240" w:after="120"/>
        <w:ind w:left="720"/>
        <w:outlineLvl w:val="3"/>
        <w:rPr>
          <w:b/>
          <w:bCs/>
          <w:i/>
          <w:snapToGrid w:val="0"/>
          <w:lang w:val="x-none" w:eastAsia="x-none"/>
        </w:rPr>
      </w:pPr>
      <w:r w:rsidRPr="00947983">
        <w:rPr>
          <w:b/>
          <w:bCs/>
          <w:i/>
          <w:snapToGrid w:val="0"/>
          <w:lang w:val="x-none" w:eastAsia="x-none"/>
        </w:rPr>
        <w:t>Controllable Load Resource</w:t>
      </w:r>
    </w:p>
    <w:p w14:paraId="160AE408" w14:textId="77777777" w:rsidR="00CC0A31" w:rsidRDefault="00CC0A31" w:rsidP="00CC0A31">
      <w:pPr>
        <w:spacing w:after="240"/>
        <w:ind w:left="720"/>
      </w:pPr>
      <w:r w:rsidRPr="00947983">
        <w:rPr>
          <w:iCs/>
        </w:rPr>
        <w:t>A Load Resource capable of controllably reducing or increasing consumption under dispatch control by ERCOT.</w:t>
      </w:r>
    </w:p>
    <w:p w14:paraId="17655848" w14:textId="77777777" w:rsidR="00C30D8F" w:rsidRPr="0050352A" w:rsidRDefault="00C30D8F" w:rsidP="00B7747E">
      <w:pPr>
        <w:keepNext/>
        <w:tabs>
          <w:tab w:val="left" w:pos="900"/>
        </w:tabs>
        <w:spacing w:before="240" w:after="240"/>
        <w:ind w:left="900" w:hanging="900"/>
        <w:outlineLvl w:val="1"/>
        <w:rPr>
          <w:b/>
        </w:rPr>
      </w:pPr>
      <w:bookmarkStart w:id="829" w:name="Z"/>
      <w:bookmarkStart w:id="830" w:name="ResourceAttribute"/>
      <w:bookmarkEnd w:id="829"/>
      <w:r w:rsidRPr="0050352A">
        <w:rPr>
          <w:b/>
        </w:rPr>
        <w:t>Resource Attribute</w:t>
      </w:r>
      <w:bookmarkEnd w:id="830"/>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lastRenderedPageBreak/>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77777777" w:rsidR="00620E0D" w:rsidRDefault="00C30D8F" w:rsidP="00C30D8F">
      <w:pPr>
        <w:pStyle w:val="BodyText"/>
        <w:ind w:left="360"/>
      </w:pPr>
      <w:r>
        <w:t xml:space="preserve">A Generation Resource less than 10 MW or a Load Resource less than 10 MW that may be unavailable to </w:t>
      </w:r>
      <w:r w:rsidRPr="00A8169B">
        <w:t xml:space="preserve">Security-Constrained Economic Dispatch </w:t>
      </w:r>
      <w:r>
        <w:t>(SCED) due to the need to maintain its current state of charge.</w:t>
      </w:r>
    </w:p>
    <w:p w14:paraId="1E4F8A5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lastRenderedPageBreak/>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7" w:name="_Toc118224597"/>
      <w:bookmarkStart w:id="838" w:name="_Toc118909665"/>
      <w:bookmarkStart w:id="839" w:name="_Toc205190504"/>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lastRenderedPageBreak/>
        <w:t>Resource Node</w:t>
      </w:r>
      <w:bookmarkEnd w:id="840"/>
      <w:bookmarkEnd w:id="841"/>
      <w:bookmarkEnd w:id="842"/>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6" w:name="_Toc205190509"/>
            <w:bookmarkStart w:id="857" w:name="_Toc73847948"/>
            <w:bookmarkStart w:id="858" w:name="_Toc118224602"/>
            <w:bookmarkStart w:id="859" w:name="_Toc118909670"/>
            <w:r>
              <w:rPr>
                <w:b/>
                <w:i/>
                <w:iCs/>
              </w:rPr>
              <w:lastRenderedPageBreak/>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5" w:name="_Toc205190512"/>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lastRenderedPageBreak/>
        <w:t>S</w:t>
      </w:r>
      <w:bookmarkStart w:id="866" w:name="S"/>
      <w:bookmarkEnd w:id="866"/>
    </w:p>
    <w:p w14:paraId="77DD348A" w14:textId="77777777" w:rsidR="00B75513" w:rsidRDefault="00AE5D3E">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1" w:name="_Toc205190518"/>
      <w:r w:rsidRPr="004222A1">
        <w:rPr>
          <w:b/>
        </w:rPr>
        <w:t>Security-Constrained Economic Dispatch (SCED)</w:t>
      </w:r>
      <w:bookmarkEnd w:id="867"/>
      <w:bookmarkEnd w:id="868"/>
      <w:bookmarkEnd w:id="871"/>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2" w:name="_Toc80425757"/>
      <w:bookmarkStart w:id="873" w:name="_Toc118224608"/>
      <w:bookmarkStart w:id="874" w:name="_Toc118909676"/>
      <w:bookmarkStart w:id="875" w:name="_Toc205190519"/>
      <w:bookmarkStart w:id="876" w:name="_Toc73847958"/>
      <w:r w:rsidRPr="004222A1">
        <w:rPr>
          <w:b/>
        </w:rPr>
        <w:t>Self-Arranged Ancillary Service</w:t>
      </w:r>
      <w:bookmarkEnd w:id="872"/>
      <w:r w:rsidRPr="004222A1">
        <w:rPr>
          <w:b/>
        </w:rPr>
        <w:t xml:space="preserve"> Quantity</w:t>
      </w:r>
      <w:bookmarkEnd w:id="873"/>
      <w:bookmarkEnd w:id="874"/>
      <w:bookmarkEnd w:id="875"/>
    </w:p>
    <w:p w14:paraId="10E34D96" w14:textId="77777777" w:rsidR="005D1947" w:rsidRDefault="00A442A0">
      <w:pPr>
        <w:pStyle w:val="BodyText"/>
      </w:pPr>
      <w:bookmarkStart w:id="877" w:name="_Toc80425758"/>
      <w:bookmarkStart w:id="878" w:name="_Toc73847959"/>
      <w:bookmarkEnd w:id="876"/>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9" w:name="_Toc118224609"/>
      <w:bookmarkStart w:id="880" w:name="_Toc118909677"/>
      <w:bookmarkStart w:id="881" w:name="_Toc205190520"/>
      <w:bookmarkStart w:id="882" w:name="_Toc80425760"/>
      <w:bookmarkStart w:id="883" w:name="_Toc73847963"/>
      <w:bookmarkEnd w:id="877"/>
      <w:bookmarkEnd w:id="878"/>
      <w:r w:rsidRPr="004222A1">
        <w:rPr>
          <w:b/>
        </w:rPr>
        <w:lastRenderedPageBreak/>
        <w:t>Self-Schedule</w:t>
      </w:r>
      <w:bookmarkEnd w:id="879"/>
      <w:bookmarkEnd w:id="880"/>
      <w:bookmarkEnd w:id="881"/>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4" w:name="_Toc205190521"/>
      <w:bookmarkStart w:id="885" w:name="_Toc118224610"/>
      <w:bookmarkStart w:id="886" w:name="_Toc118909678"/>
      <w:r w:rsidRPr="004222A1">
        <w:rPr>
          <w:b/>
        </w:rPr>
        <w:t>Service Address</w:t>
      </w:r>
      <w:bookmarkEnd w:id="884"/>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7" w:name="_Toc205190522"/>
      <w:r w:rsidRPr="004222A1">
        <w:rPr>
          <w:b/>
        </w:rPr>
        <w:t>Service Delivery Point</w:t>
      </w:r>
      <w:bookmarkEnd w:id="882"/>
      <w:bookmarkEnd w:id="885"/>
      <w:bookmarkEnd w:id="886"/>
      <w:bookmarkEnd w:id="887"/>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8" w:name="_Toc118224611"/>
      <w:bookmarkStart w:id="889" w:name="_Toc118909679"/>
      <w:bookmarkStart w:id="890" w:name="_Toc205190523"/>
      <w:bookmarkStart w:id="891" w:name="_Toc73847964"/>
      <w:bookmarkStart w:id="892" w:name="_Toc80425764"/>
      <w:bookmarkStart w:id="893" w:name="_Toc73847967"/>
      <w:bookmarkEnd w:id="883"/>
      <w:r w:rsidRPr="004222A1">
        <w:rPr>
          <w:b/>
        </w:rPr>
        <w:t>Settlement</w:t>
      </w:r>
      <w:bookmarkEnd w:id="888"/>
      <w:bookmarkEnd w:id="889"/>
      <w:bookmarkEnd w:id="890"/>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4" w:name="_Toc205190524"/>
      <w:bookmarkStart w:id="895" w:name="_Toc118224612"/>
      <w:bookmarkStart w:id="896" w:name="_Toc118909680"/>
      <w:r w:rsidRPr="004222A1">
        <w:rPr>
          <w:b/>
        </w:rPr>
        <w:t>Settlement Calendar</w:t>
      </w:r>
      <w:bookmarkEnd w:id="894"/>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7" w:name="_Toc205190525"/>
      <w:r w:rsidRPr="004222A1">
        <w:rPr>
          <w:b/>
        </w:rPr>
        <w:t>Settlement Interval</w:t>
      </w:r>
      <w:bookmarkEnd w:id="891"/>
      <w:bookmarkEnd w:id="892"/>
      <w:bookmarkEnd w:id="895"/>
      <w:bookmarkEnd w:id="896"/>
      <w:bookmarkEnd w:id="897"/>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8" w:name="_Toc73847966"/>
      <w:bookmarkStart w:id="899" w:name="_Toc80425766"/>
      <w:bookmarkStart w:id="900" w:name="_Toc118224613"/>
      <w:bookmarkStart w:id="901" w:name="_Toc118909681"/>
      <w:bookmarkStart w:id="902"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8"/>
      <w:bookmarkEnd w:id="899"/>
      <w:bookmarkEnd w:id="900"/>
      <w:bookmarkEnd w:id="901"/>
      <w:bookmarkEnd w:id="902"/>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3" w:name="_Toc80425767"/>
      <w:bookmarkStart w:id="904" w:name="_Toc118224614"/>
      <w:bookmarkStart w:id="905" w:name="_Toc118909682"/>
      <w:bookmarkStart w:id="906" w:name="_Toc205190527"/>
      <w:bookmarkEnd w:id="893"/>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lastRenderedPageBreak/>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3"/>
      <w:bookmarkEnd w:id="904"/>
      <w:bookmarkEnd w:id="905"/>
      <w:bookmarkEnd w:id="906"/>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lastRenderedPageBreak/>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lastRenderedPageBreak/>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4" w:name="_Toc118224625"/>
      <w:bookmarkStart w:id="945" w:name="_Toc118909693"/>
      <w:bookmarkStart w:id="946" w:name="_Toc205190538"/>
      <w:r w:rsidRPr="004222A1">
        <w:rPr>
          <w:b/>
        </w:rPr>
        <w:t>State Estimator (SE)</w:t>
      </w:r>
      <w:bookmarkEnd w:id="943"/>
      <w:bookmarkEnd w:id="944"/>
      <w:bookmarkEnd w:id="945"/>
      <w:bookmarkEnd w:id="946"/>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6574FD88" w14:textId="77777777" w:rsidR="00EF4BE7" w:rsidRPr="004222A1" w:rsidRDefault="00EF4BE7" w:rsidP="00EF4BE7">
      <w:pPr>
        <w:pStyle w:val="H2"/>
        <w:rPr>
          <w:b/>
        </w:rPr>
      </w:pPr>
      <w:r w:rsidRPr="004222A1">
        <w:rPr>
          <w:b/>
        </w:rPr>
        <w:t>Synchronous Condenser Unit</w:t>
      </w:r>
    </w:p>
    <w:p w14:paraId="542F30E8" w14:textId="77777777" w:rsidR="00B75513" w:rsidRDefault="00EF4BE7" w:rsidP="00F77FE2">
      <w:pPr>
        <w:pStyle w:val="BodyText"/>
      </w:pPr>
      <w:r>
        <w:t>A unit operated under the terms of an annual Agreement with ERCOT that is only capable of supplying Volt-Amperes reactive (</w:t>
      </w:r>
      <w:proofErr w:type="spellStart"/>
      <w:r>
        <w:t>VArs</w:t>
      </w:r>
      <w:proofErr w:type="spellEnd"/>
      <w:r>
        <w:t xml:space="preserve">) that would not otherwise be operated except </w:t>
      </w:r>
      <w:r w:rsidR="006D4AC6">
        <w:t>as</w:t>
      </w:r>
      <w:r>
        <w:t xml:space="preserve"> necessary to provide voltage support under </w:t>
      </w:r>
      <w:r w:rsidR="00117C75">
        <w:t>Credible Single Contingency</w:t>
      </w:r>
      <w:r>
        <w:t xml:space="preserve"> criteria.</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8"/>
    <w:bookmarkEnd w:id="949"/>
    <w:bookmarkEnd w:id="950"/>
    <w:p w14:paraId="11D6BF95" w14:textId="77777777" w:rsidR="005D1947" w:rsidRDefault="00A442A0">
      <w:pPr>
        <w:pStyle w:val="BodyText"/>
        <w:keepNext/>
        <w:rPr>
          <w:b/>
          <w:sz w:val="40"/>
          <w:szCs w:val="40"/>
        </w:rPr>
      </w:pPr>
      <w:r>
        <w:rPr>
          <w:b/>
          <w:sz w:val="40"/>
          <w:szCs w:val="40"/>
        </w:rPr>
        <w:lastRenderedPageBreak/>
        <w:t>T</w:t>
      </w:r>
      <w:bookmarkStart w:id="952" w:name="T"/>
      <w:bookmarkEnd w:id="952"/>
    </w:p>
    <w:p w14:paraId="76806BF3" w14:textId="77777777" w:rsidR="00B75513" w:rsidRDefault="00AE5D3E">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lastRenderedPageBreak/>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lastRenderedPageBreak/>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6" w:name="_Toc118224638"/>
      <w:bookmarkStart w:id="997" w:name="_Toc118909706"/>
      <w:bookmarkStart w:id="998" w:name="_Toc205190552"/>
      <w:r w:rsidRPr="004222A1">
        <w:rPr>
          <w:b/>
        </w:rPr>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AE5D3E">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lastRenderedPageBreak/>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7" w:name="_Toc205190557"/>
      <w:r w:rsidRPr="004222A1">
        <w:rPr>
          <w:b/>
        </w:rPr>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AE5D3E">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7" w:name="_Toc205190562"/>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AE5D3E">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lastRenderedPageBreak/>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AE5D3E">
      <w:pPr>
        <w:pStyle w:val="ListIntroduction"/>
        <w:keepNext w:val="0"/>
      </w:pPr>
      <w:hyperlink w:anchor="_DEFINITIONS" w:history="1">
        <w:r w:rsidR="00842B9A">
          <w:rPr>
            <w:rStyle w:val="Hyperlink"/>
          </w:rPr>
          <w:t>[Back to Top]</w:t>
        </w:r>
      </w:hyperlink>
    </w:p>
    <w:p w14:paraId="73E46C47" w14:textId="77777777" w:rsidR="005D1947" w:rsidRDefault="00AE5D3E">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AE5D3E">
      <w:pPr>
        <w:pStyle w:val="ListIntroduction"/>
        <w:keepNext w:val="0"/>
      </w:pPr>
      <w:hyperlink w:anchor="_DEFINITIONS" w:history="1">
        <w:r w:rsidR="00842B9A">
          <w:rPr>
            <w:rStyle w:val="Hyperlink"/>
          </w:rPr>
          <w:t>[Back to Top]</w:t>
        </w:r>
      </w:hyperlink>
    </w:p>
    <w:p w14:paraId="76C10CB2" w14:textId="77777777" w:rsidR="005D1947" w:rsidRDefault="00AE5D3E">
      <w:pPr>
        <w:spacing w:after="240"/>
      </w:pPr>
      <w:hyperlink w:anchor="_2_DEFINITIONS_AND_ACRONYMS" w:history="1"/>
    </w:p>
    <w:p w14:paraId="67110651" w14:textId="77777777" w:rsidR="005D1947" w:rsidRDefault="00A442A0">
      <w:pPr>
        <w:pStyle w:val="BodyText"/>
        <w:rPr>
          <w:b/>
          <w:sz w:val="40"/>
          <w:szCs w:val="40"/>
        </w:rPr>
      </w:pPr>
      <w:r>
        <w:rPr>
          <w:b/>
          <w:sz w:val="40"/>
          <w:szCs w:val="40"/>
        </w:rPr>
        <w:lastRenderedPageBreak/>
        <w:t>Z</w:t>
      </w:r>
    </w:p>
    <w:p w14:paraId="132C42CC" w14:textId="77777777" w:rsidR="00B75513" w:rsidRDefault="00AE5D3E">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pPr>
        <w:tabs>
          <w:tab w:val="left" w:pos="2160"/>
        </w:tabs>
      </w:pPr>
      <w:r>
        <w:rPr>
          <w:b/>
        </w:rPr>
        <w:t>CEII</w:t>
      </w:r>
      <w:r>
        <w:tab/>
        <w:t>Critical Energy Infrastructure Information</w:t>
      </w:r>
    </w:p>
    <w:p w14:paraId="5C399F40" w14:textId="77777777" w:rsidR="005D1947" w:rsidRDefault="00A442A0">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lastRenderedPageBreak/>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lastRenderedPageBreak/>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lastRenderedPageBreak/>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30D8F">
      <w:pPr>
        <w:tabs>
          <w:tab w:val="left" w:pos="2160"/>
        </w:tabs>
      </w:pPr>
      <w:r>
        <w:rPr>
          <w:b/>
        </w:rPr>
        <w:t>LDR</w:t>
      </w:r>
      <w:r>
        <w:rPr>
          <w:b/>
        </w:rPr>
        <w:tab/>
      </w:r>
      <w:r>
        <w:t>Limited Duration Resource</w:t>
      </w:r>
    </w:p>
    <w:p w14:paraId="73B9E68E" w14:textId="77777777" w:rsidR="005D1947" w:rsidRDefault="00A442A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lastRenderedPageBreak/>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lastRenderedPageBreak/>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lastRenderedPageBreak/>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37DA9" w14:textId="77777777" w:rsidR="007C1DFD" w:rsidRDefault="007C1DFD">
      <w:r>
        <w:separator/>
      </w:r>
    </w:p>
  </w:endnote>
  <w:endnote w:type="continuationSeparator" w:id="0">
    <w:p w14:paraId="6CE8C3B2" w14:textId="77777777" w:rsidR="007C1DFD" w:rsidRDefault="007C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7C1DFD" w:rsidRDefault="007C1D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7C1DFD" w:rsidRDefault="007C1DF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7C1DFD" w:rsidRDefault="007C1DFD">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5830C285" w:rsidR="007C1DFD" w:rsidRPr="00F909A2" w:rsidRDefault="007C1DFD">
    <w:pPr>
      <w:pStyle w:val="Footer"/>
      <w:tabs>
        <w:tab w:val="clear" w:pos="4680"/>
      </w:tabs>
      <w:spacing w:before="0" w:after="0"/>
    </w:pPr>
    <w:r w:rsidRPr="00F909A2">
      <w:t>ERCOT Nodal Protocols –</w:t>
    </w:r>
    <w:r>
      <w:t xml:space="preserve"> </w:t>
    </w:r>
    <w:r w:rsidR="00D31B68">
      <w:t>December</w:t>
    </w:r>
    <w:r>
      <w:t xml:space="preserve"> 1</w:t>
    </w:r>
    <w:r w:rsidR="00D31B68">
      <w:t>2</w:t>
    </w:r>
    <w:r>
      <w:t>, 2019</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AE5D3E">
      <w:rPr>
        <w:rStyle w:val="PageNumber"/>
        <w:noProof/>
      </w:rPr>
      <w:t>20</w:t>
    </w:r>
    <w:r>
      <w:rPr>
        <w:rStyle w:val="PageNumber"/>
      </w:rPr>
      <w:fldChar w:fldCharType="end"/>
    </w:r>
  </w:p>
  <w:p w14:paraId="26A9916C" w14:textId="77777777" w:rsidR="007C1DFD" w:rsidRDefault="007C1DFD">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8FCC3" w14:textId="77777777" w:rsidR="007C1DFD" w:rsidRDefault="007C1DFD">
      <w:r>
        <w:separator/>
      </w:r>
    </w:p>
  </w:footnote>
  <w:footnote w:type="continuationSeparator" w:id="0">
    <w:p w14:paraId="6BEB4CD6" w14:textId="77777777" w:rsidR="007C1DFD" w:rsidRDefault="007C1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7C1DFD" w:rsidRDefault="007C1DFD"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7C1DFD" w:rsidRDefault="007C1DFD">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9B3"/>
    <w:rsid w:val="00087C63"/>
    <w:rsid w:val="00087DFE"/>
    <w:rsid w:val="000914BB"/>
    <w:rsid w:val="00091E5F"/>
    <w:rsid w:val="0009533C"/>
    <w:rsid w:val="00095648"/>
    <w:rsid w:val="00096C22"/>
    <w:rsid w:val="000A0E7E"/>
    <w:rsid w:val="000A20F6"/>
    <w:rsid w:val="000A2B97"/>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69E5"/>
    <w:rsid w:val="0020064A"/>
    <w:rsid w:val="00200C33"/>
    <w:rsid w:val="0020238E"/>
    <w:rsid w:val="0020251A"/>
    <w:rsid w:val="00204F2D"/>
    <w:rsid w:val="002079E8"/>
    <w:rsid w:val="00207AC7"/>
    <w:rsid w:val="00210745"/>
    <w:rsid w:val="00212ED7"/>
    <w:rsid w:val="00214B1E"/>
    <w:rsid w:val="0021652B"/>
    <w:rsid w:val="002165A8"/>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4110"/>
    <w:rsid w:val="003759AE"/>
    <w:rsid w:val="00375A78"/>
    <w:rsid w:val="0038132E"/>
    <w:rsid w:val="00382C74"/>
    <w:rsid w:val="00383714"/>
    <w:rsid w:val="00385CD6"/>
    <w:rsid w:val="003864E8"/>
    <w:rsid w:val="00386C63"/>
    <w:rsid w:val="00386E6C"/>
    <w:rsid w:val="00390F5F"/>
    <w:rsid w:val="0039107A"/>
    <w:rsid w:val="00391D23"/>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31B5"/>
    <w:rsid w:val="00437CE6"/>
    <w:rsid w:val="004433BA"/>
    <w:rsid w:val="00443BBB"/>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28E8"/>
    <w:rsid w:val="00743624"/>
    <w:rsid w:val="00745AA5"/>
    <w:rsid w:val="00745FB7"/>
    <w:rsid w:val="00746D65"/>
    <w:rsid w:val="00747CB0"/>
    <w:rsid w:val="00750990"/>
    <w:rsid w:val="007510BD"/>
    <w:rsid w:val="00752017"/>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6135"/>
    <w:rsid w:val="007F7C2F"/>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38B"/>
    <w:rsid w:val="009164D6"/>
    <w:rsid w:val="00916EB4"/>
    <w:rsid w:val="0092355A"/>
    <w:rsid w:val="00925082"/>
    <w:rsid w:val="009270F5"/>
    <w:rsid w:val="00927819"/>
    <w:rsid w:val="00927A86"/>
    <w:rsid w:val="00934730"/>
    <w:rsid w:val="00936C15"/>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34E8"/>
    <w:rsid w:val="009A5229"/>
    <w:rsid w:val="009A52E2"/>
    <w:rsid w:val="009A588D"/>
    <w:rsid w:val="009B033A"/>
    <w:rsid w:val="009B5591"/>
    <w:rsid w:val="009B57E7"/>
    <w:rsid w:val="009B7909"/>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334E"/>
    <w:rsid w:val="00B54247"/>
    <w:rsid w:val="00B55C81"/>
    <w:rsid w:val="00B60DCF"/>
    <w:rsid w:val="00B628C5"/>
    <w:rsid w:val="00B62A9E"/>
    <w:rsid w:val="00B63F5E"/>
    <w:rsid w:val="00B6546B"/>
    <w:rsid w:val="00B66A34"/>
    <w:rsid w:val="00B70F28"/>
    <w:rsid w:val="00B7316C"/>
    <w:rsid w:val="00B7528C"/>
    <w:rsid w:val="00B75513"/>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2A85"/>
    <w:rsid w:val="00C74251"/>
    <w:rsid w:val="00C7427F"/>
    <w:rsid w:val="00C7727A"/>
    <w:rsid w:val="00C811A0"/>
    <w:rsid w:val="00C81CB2"/>
    <w:rsid w:val="00C820E3"/>
    <w:rsid w:val="00C8235B"/>
    <w:rsid w:val="00C84C21"/>
    <w:rsid w:val="00C925F1"/>
    <w:rsid w:val="00C952F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9E9"/>
    <w:rsid w:val="00D910B5"/>
    <w:rsid w:val="00D920DA"/>
    <w:rsid w:val="00D928B4"/>
    <w:rsid w:val="00D92938"/>
    <w:rsid w:val="00D92F5B"/>
    <w:rsid w:val="00D9407F"/>
    <w:rsid w:val="00D96240"/>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7598"/>
    <w:rsid w:val="00E60263"/>
    <w:rsid w:val="00E60F56"/>
    <w:rsid w:val="00E61015"/>
    <w:rsid w:val="00E64E87"/>
    <w:rsid w:val="00E65389"/>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2A9D"/>
    <w:rsid w:val="00FA2E52"/>
    <w:rsid w:val="00FB2344"/>
    <w:rsid w:val="00FB31A4"/>
    <w:rsid w:val="00FB5139"/>
    <w:rsid w:val="00FB7651"/>
    <w:rsid w:val="00FB76B0"/>
    <w:rsid w:val="00FC1524"/>
    <w:rsid w:val="00FC3EDA"/>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A6367-96EA-4A08-80CC-F85F153F0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22548</Words>
  <Characters>128526</Characters>
  <Application>Microsoft Office Word</Application>
  <DocSecurity>0</DocSecurity>
  <Lines>1071</Lines>
  <Paragraphs>301</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150773</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2</cp:revision>
  <cp:lastPrinted>2006-04-19T19:09:00Z</cp:lastPrinted>
  <dcterms:created xsi:type="dcterms:W3CDTF">2019-12-10T16:02:00Z</dcterms:created>
  <dcterms:modified xsi:type="dcterms:W3CDTF">2019-12-10T16:02:00Z</dcterms:modified>
</cp:coreProperties>
</file>