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540F34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6B6C8F">
                <w:rPr>
                  <w:rStyle w:val="Hyperlink"/>
                </w:rPr>
                <w:t>976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751E8F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Provisions for Resource Entities to Act as a Virtual QSE or Emergency QSE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2F29F2" w:rsidP="002F29F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October</w:t>
            </w:r>
            <w:r w:rsidR="00751E8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="00751E8F">
              <w:rPr>
                <w:rFonts w:ascii="Arial" w:hAnsi="Arial" w:cs="Arial"/>
              </w:rPr>
              <w:t>, 2019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40F3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976</w:t>
    </w:r>
    <w:r w:rsidR="00BA2B92" w:rsidRPr="00D634EE">
      <w:rPr>
        <w:rFonts w:ascii="Arial" w:hAnsi="Arial"/>
        <w:sz w:val="18"/>
      </w:rPr>
      <w:t>NPRR</w:t>
    </w:r>
    <w:r w:rsidR="00751E8F" w:rsidRPr="00D634EE">
      <w:rPr>
        <w:rFonts w:ascii="Arial" w:hAnsi="Arial"/>
        <w:sz w:val="18"/>
      </w:rPr>
      <w:t>-02</w:t>
    </w:r>
    <w:r w:rsidR="00BA2B92" w:rsidRPr="00D634EE">
      <w:rPr>
        <w:szCs w:val="23"/>
      </w:rPr>
      <w:t xml:space="preserve"> </w:t>
    </w:r>
    <w:r w:rsidR="002F29F2">
      <w:rPr>
        <w:rFonts w:ascii="Arial" w:hAnsi="Arial"/>
        <w:sz w:val="18"/>
      </w:rPr>
      <w:t>Impact Analysis 1001</w:t>
    </w:r>
    <w:r w:rsidR="00BA2B92" w:rsidRPr="00D634EE">
      <w:rPr>
        <w:rFonts w:ascii="Arial" w:hAnsi="Arial"/>
        <w:sz w:val="18"/>
      </w:rPr>
      <w:t>19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274D3B"/>
    <w:rsid w:val="002F29F2"/>
    <w:rsid w:val="00493725"/>
    <w:rsid w:val="00540F34"/>
    <w:rsid w:val="00751E8F"/>
    <w:rsid w:val="007A4799"/>
    <w:rsid w:val="00925EF2"/>
    <w:rsid w:val="009E6B28"/>
    <w:rsid w:val="00BA2B92"/>
    <w:rsid w:val="00D6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40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97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2019-10-01T16:47:00Z</dcterms:created>
  <dcterms:modified xsi:type="dcterms:W3CDTF">2019-10-01T16:48:00Z</dcterms:modified>
</cp:coreProperties>
</file>