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53" w:rsidRDefault="0019740C">
      <w:r w:rsidRPr="0019740C">
        <w:t>Re: BESTF Materials for Nov. 15th Meeting (comments due Nov. 11)</w:t>
      </w:r>
    </w:p>
    <w:p w:rsidR="0019740C" w:rsidRDefault="0019740C"/>
    <w:p w:rsidR="0019740C" w:rsidRDefault="0019740C" w:rsidP="0019740C">
      <w:pPr>
        <w:pStyle w:val="NormalWeb"/>
      </w:pPr>
      <w:r>
        <w:t xml:space="preserve">From:  Danny Musher </w:t>
      </w:r>
      <w:hyperlink r:id="rId5" w:history="1">
        <w:r w:rsidRPr="00AF778F">
          <w:rPr>
            <w:rStyle w:val="Hyperlink"/>
          </w:rPr>
          <w:t>danny.musher@keycaptureenergy.com</w:t>
        </w:r>
      </w:hyperlink>
    </w:p>
    <w:p w:rsidR="0019740C" w:rsidRDefault="0019740C" w:rsidP="0019740C">
      <w:pPr>
        <w:pStyle w:val="NormalWeb"/>
      </w:pPr>
    </w:p>
    <w:p w:rsidR="0019740C" w:rsidRDefault="0019740C"/>
    <w:p w:rsidR="0019740C" w:rsidRDefault="0019740C" w:rsidP="0019740C">
      <w:pPr>
        <w:numPr>
          <w:ilvl w:val="0"/>
          <w:numId w:val="1"/>
        </w:numPr>
        <w:rPr>
          <w:rFonts w:ascii="Calibri" w:eastAsia="Times New Roman" w:hAnsi="Calibri" w:cs="Calibri"/>
          <w:color w:val="000000"/>
          <w:sz w:val="22"/>
          <w:szCs w:val="22"/>
        </w:rPr>
      </w:pPr>
      <w:r>
        <w:rPr>
          <w:rFonts w:ascii="Calibri" w:eastAsia="Times New Roman" w:hAnsi="Calibri" w:cs="Calibri"/>
          <w:color w:val="000000"/>
          <w:u w:val="single"/>
        </w:rPr>
        <w:t>KTC 1 - Energy Storage Resource (ESR) Registration</w:t>
      </w:r>
    </w:p>
    <w:p w:rsidR="0019740C" w:rsidRDefault="0019740C" w:rsidP="0019740C">
      <w:pPr>
        <w:numPr>
          <w:ilvl w:val="1"/>
          <w:numId w:val="2"/>
        </w:numPr>
        <w:rPr>
          <w:rFonts w:ascii="Calibri" w:eastAsia="Times New Roman" w:hAnsi="Calibri" w:cs="Calibri"/>
          <w:color w:val="000000"/>
          <w:sz w:val="22"/>
          <w:szCs w:val="22"/>
        </w:rPr>
      </w:pPr>
      <w:r>
        <w:rPr>
          <w:rFonts w:ascii="Calibri" w:eastAsia="Times New Roman" w:hAnsi="Calibri" w:cs="Calibri"/>
          <w:color w:val="000000"/>
        </w:rPr>
        <w:t>KCE has no comment at this time.</w:t>
      </w:r>
    </w:p>
    <w:p w:rsidR="0019740C" w:rsidRPr="0019740C" w:rsidRDefault="0019740C" w:rsidP="0019740C">
      <w:pPr>
        <w:ind w:left="720"/>
        <w:rPr>
          <w:rFonts w:ascii="Calibri" w:eastAsia="Times New Roman" w:hAnsi="Calibri" w:cs="Calibri"/>
          <w:color w:val="000000"/>
          <w:sz w:val="22"/>
          <w:szCs w:val="22"/>
        </w:rPr>
      </w:pPr>
    </w:p>
    <w:p w:rsidR="0019740C" w:rsidRDefault="0019740C" w:rsidP="0019740C">
      <w:pPr>
        <w:numPr>
          <w:ilvl w:val="0"/>
          <w:numId w:val="3"/>
        </w:numPr>
        <w:rPr>
          <w:rFonts w:ascii="Calibri" w:eastAsia="Times New Roman" w:hAnsi="Calibri" w:cs="Calibri"/>
          <w:color w:val="000000"/>
          <w:sz w:val="22"/>
          <w:szCs w:val="22"/>
        </w:rPr>
      </w:pPr>
      <w:r>
        <w:rPr>
          <w:rFonts w:ascii="Calibri" w:eastAsia="Times New Roman" w:hAnsi="Calibri" w:cs="Calibri"/>
          <w:color w:val="000000"/>
          <w:u w:val="single"/>
        </w:rPr>
        <w:t>KTC 3 - Charging Restrictions During Emergency Conditions</w:t>
      </w:r>
    </w:p>
    <w:p w:rsidR="0019740C" w:rsidRDefault="0019740C" w:rsidP="0019740C">
      <w:pPr>
        <w:numPr>
          <w:ilvl w:val="1"/>
          <w:numId w:val="4"/>
        </w:numPr>
        <w:rPr>
          <w:rFonts w:ascii="Calibri" w:eastAsia="Times New Roman" w:hAnsi="Calibri" w:cs="Calibri"/>
          <w:color w:val="000000"/>
          <w:sz w:val="22"/>
          <w:szCs w:val="22"/>
        </w:rPr>
      </w:pPr>
      <w:r>
        <w:rPr>
          <w:rFonts w:ascii="Calibri" w:eastAsia="Times New Roman" w:hAnsi="Calibri" w:cs="Calibri"/>
          <w:color w:val="000000"/>
        </w:rPr>
        <w:t xml:space="preserve">KCE agrees with the discussion at the meeting that price signals alone should </w:t>
      </w:r>
      <w:proofErr w:type="spellStart"/>
      <w:r>
        <w:rPr>
          <w:rFonts w:ascii="Calibri" w:eastAsia="Times New Roman" w:hAnsi="Calibri" w:cs="Calibri"/>
          <w:color w:val="000000"/>
        </w:rPr>
        <w:t>disincentivize</w:t>
      </w:r>
      <w:proofErr w:type="spellEnd"/>
      <w:r>
        <w:rPr>
          <w:rFonts w:ascii="Calibri" w:eastAsia="Times New Roman" w:hAnsi="Calibri" w:cs="Calibri"/>
          <w:color w:val="000000"/>
        </w:rPr>
        <w:t xml:space="preserve"> charging during emergency conditions.  However, there could be unique instances in which ESRs may need to charge during such EEA conditions; for example, an FFR resource that must restore its charge following a deployment (assuming frequency has recovered to levels at which FFR resources are permitted to recharge.)  Due to such scenarios, KCE questions whether an outright prohibition on charging during emergency conditions is needed at this time.  If ERCOT determines a prohibition is indeed needed at this time, KCE prefers a financial penalty for such activity and not a penalty that would result in a loss of qualification to participate in markets.</w:t>
      </w:r>
    </w:p>
    <w:p w:rsidR="0019740C" w:rsidRPr="0019740C" w:rsidRDefault="0019740C" w:rsidP="0019740C">
      <w:pPr>
        <w:ind w:left="720"/>
        <w:rPr>
          <w:rFonts w:ascii="Calibri" w:eastAsia="Times New Roman" w:hAnsi="Calibri" w:cs="Calibri"/>
          <w:color w:val="000000"/>
          <w:sz w:val="22"/>
          <w:szCs w:val="22"/>
        </w:rPr>
      </w:pPr>
    </w:p>
    <w:p w:rsidR="0019740C" w:rsidRDefault="0019740C" w:rsidP="0019740C">
      <w:pPr>
        <w:numPr>
          <w:ilvl w:val="0"/>
          <w:numId w:val="5"/>
        </w:numPr>
        <w:rPr>
          <w:rFonts w:ascii="Calibri" w:eastAsia="Times New Roman" w:hAnsi="Calibri" w:cs="Calibri"/>
          <w:color w:val="000000"/>
          <w:sz w:val="22"/>
          <w:szCs w:val="22"/>
        </w:rPr>
      </w:pPr>
      <w:r>
        <w:rPr>
          <w:rFonts w:ascii="Calibri" w:eastAsia="Times New Roman" w:hAnsi="Calibri" w:cs="Calibri"/>
          <w:color w:val="000000"/>
          <w:u w:val="single"/>
        </w:rPr>
        <w:t>KTC 5 - Single Model Energy Storage Resource Energy Deployment Performance (ESREDP)</w:t>
      </w:r>
    </w:p>
    <w:p w:rsidR="0019740C" w:rsidRDefault="0019740C" w:rsidP="0019740C">
      <w:pPr>
        <w:numPr>
          <w:ilvl w:val="1"/>
          <w:numId w:val="6"/>
        </w:numPr>
        <w:rPr>
          <w:rFonts w:ascii="Calibri" w:eastAsia="Times New Roman" w:hAnsi="Calibri" w:cs="Calibri"/>
          <w:color w:val="000000"/>
          <w:sz w:val="22"/>
          <w:szCs w:val="22"/>
        </w:rPr>
      </w:pPr>
      <w:r>
        <w:rPr>
          <w:rFonts w:ascii="Calibri" w:eastAsia="Times New Roman" w:hAnsi="Calibri" w:cs="Calibri"/>
          <w:color w:val="000000"/>
        </w:rPr>
        <w:t>KCE supports the implementation of ESREDP.  The current process of scoring GREDP and CLREDP separately for ESR results in scores that do not reflect the performance of ESR resources.  The new ESREDP calculation should provide a more accurate representation of ESR performance and allow ESRs to offer products that require shifting from charging to discharging (e.g. Frequency Regulation) while meeting performance targets.</w:t>
      </w:r>
    </w:p>
    <w:p w:rsidR="0019740C" w:rsidRPr="0019740C" w:rsidRDefault="0019740C" w:rsidP="0019740C">
      <w:pPr>
        <w:ind w:left="720"/>
        <w:rPr>
          <w:rFonts w:ascii="Calibri" w:eastAsia="Times New Roman" w:hAnsi="Calibri" w:cs="Calibri"/>
          <w:color w:val="000000"/>
          <w:sz w:val="22"/>
          <w:szCs w:val="22"/>
        </w:rPr>
      </w:pPr>
    </w:p>
    <w:p w:rsidR="0019740C" w:rsidRDefault="0019740C" w:rsidP="0019740C">
      <w:pPr>
        <w:numPr>
          <w:ilvl w:val="0"/>
          <w:numId w:val="7"/>
        </w:numPr>
        <w:rPr>
          <w:rFonts w:ascii="Calibri" w:eastAsia="Times New Roman" w:hAnsi="Calibri" w:cs="Calibri"/>
          <w:color w:val="000000"/>
          <w:sz w:val="22"/>
          <w:szCs w:val="22"/>
        </w:rPr>
      </w:pPr>
      <w:r>
        <w:rPr>
          <w:rFonts w:ascii="Calibri" w:eastAsia="Times New Roman" w:hAnsi="Calibri" w:cs="Calibri"/>
          <w:color w:val="000000"/>
          <w:u w:val="single"/>
        </w:rPr>
        <w:t>KTC 6 - Single Model ESR Framework Description</w:t>
      </w:r>
    </w:p>
    <w:p w:rsidR="0019740C" w:rsidRDefault="0019740C" w:rsidP="0019740C">
      <w:pPr>
        <w:numPr>
          <w:ilvl w:val="1"/>
          <w:numId w:val="8"/>
        </w:numPr>
        <w:rPr>
          <w:rFonts w:ascii="Calibri" w:eastAsia="Times New Roman" w:hAnsi="Calibri" w:cs="Calibri"/>
          <w:color w:val="000000"/>
          <w:sz w:val="22"/>
          <w:szCs w:val="22"/>
        </w:rPr>
      </w:pPr>
      <w:r>
        <w:rPr>
          <w:rFonts w:ascii="Calibri" w:eastAsia="Times New Roman" w:hAnsi="Calibri" w:cs="Calibri"/>
          <w:color w:val="000000"/>
        </w:rPr>
        <w:t>KCE has no comment at this time.</w:t>
      </w:r>
    </w:p>
    <w:p w:rsidR="0019740C" w:rsidRPr="0019740C" w:rsidRDefault="0019740C" w:rsidP="0019740C">
      <w:pPr>
        <w:ind w:left="720"/>
        <w:rPr>
          <w:rFonts w:ascii="Calibri" w:eastAsia="Times New Roman" w:hAnsi="Calibri" w:cs="Calibri"/>
          <w:color w:val="000000"/>
          <w:sz w:val="22"/>
          <w:szCs w:val="22"/>
        </w:rPr>
      </w:pPr>
    </w:p>
    <w:p w:rsidR="0019740C" w:rsidRDefault="0019740C" w:rsidP="0019740C">
      <w:pPr>
        <w:numPr>
          <w:ilvl w:val="0"/>
          <w:numId w:val="9"/>
        </w:numPr>
        <w:rPr>
          <w:rFonts w:ascii="Calibri" w:eastAsia="Times New Roman" w:hAnsi="Calibri" w:cs="Calibri"/>
          <w:color w:val="000000"/>
          <w:sz w:val="22"/>
          <w:szCs w:val="22"/>
        </w:rPr>
      </w:pPr>
      <w:r>
        <w:rPr>
          <w:rFonts w:ascii="Calibri" w:eastAsia="Times New Roman" w:hAnsi="Calibri" w:cs="Calibri"/>
          <w:color w:val="000000"/>
          <w:u w:val="single"/>
        </w:rPr>
        <w:t>KTC 7 - Settlements for ESRs</w:t>
      </w:r>
    </w:p>
    <w:p w:rsidR="0019740C" w:rsidRDefault="0019740C" w:rsidP="0019740C">
      <w:pPr>
        <w:numPr>
          <w:ilvl w:val="1"/>
          <w:numId w:val="10"/>
        </w:numPr>
        <w:rPr>
          <w:rFonts w:ascii="Calibri" w:eastAsia="Times New Roman" w:hAnsi="Calibri" w:cs="Calibri"/>
          <w:color w:val="000000"/>
          <w:sz w:val="22"/>
          <w:szCs w:val="22"/>
        </w:rPr>
      </w:pPr>
      <w:r>
        <w:rPr>
          <w:rFonts w:ascii="Calibri" w:eastAsia="Times New Roman" w:hAnsi="Calibri" w:cs="Calibri"/>
          <w:color w:val="000000"/>
        </w:rPr>
        <w:t>KCE supports the updated Base Point Deviation (BPD) settlement process, which is an improvement over the current process of calculating BPD separately for the GR and CLR components.  KCE has no comment on the other proposed settlement changes at this time.</w:t>
      </w:r>
    </w:p>
    <w:p w:rsidR="0019740C" w:rsidRDefault="0019740C" w:rsidP="0019740C">
      <w:pPr>
        <w:rPr>
          <w:rFonts w:eastAsia="Times New Roman"/>
        </w:rPr>
      </w:pPr>
    </w:p>
    <w:p w:rsidR="0019740C" w:rsidRDefault="0019740C">
      <w:bookmarkStart w:id="0" w:name="_GoBack"/>
      <w:bookmarkEnd w:id="0"/>
    </w:p>
    <w:sectPr w:rsidR="00197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2FCC"/>
    <w:multiLevelType w:val="multilevel"/>
    <w:tmpl w:val="AE824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5465B9"/>
    <w:multiLevelType w:val="multilevel"/>
    <w:tmpl w:val="50DC5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B00AE4"/>
    <w:multiLevelType w:val="multilevel"/>
    <w:tmpl w:val="199CF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A576030"/>
    <w:multiLevelType w:val="multilevel"/>
    <w:tmpl w:val="C2F6D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5D2E4F"/>
    <w:multiLevelType w:val="multilevel"/>
    <w:tmpl w:val="8BDC0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107AE8"/>
    <w:multiLevelType w:val="multilevel"/>
    <w:tmpl w:val="E2B6DF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010BC2"/>
    <w:multiLevelType w:val="multilevel"/>
    <w:tmpl w:val="AC1668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0BE089D"/>
    <w:multiLevelType w:val="multilevel"/>
    <w:tmpl w:val="3C40DE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3A00F14"/>
    <w:multiLevelType w:val="multilevel"/>
    <w:tmpl w:val="5AE81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A974531"/>
    <w:multiLevelType w:val="multilevel"/>
    <w:tmpl w:val="5ACA52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7"/>
    <w:lvlOverride w:ilvl="0"/>
    <w:lvlOverride w:ilvl="1"/>
    <w:lvlOverride w:ilvl="2"/>
    <w:lvlOverride w:ilvl="3"/>
    <w:lvlOverride w:ilvl="4"/>
    <w:lvlOverride w:ilvl="5"/>
    <w:lvlOverride w:ilvl="6"/>
    <w:lvlOverride w:ilvl="7"/>
    <w:lvlOverride w:ilvl="8"/>
  </w:num>
  <w:num w:numId="2">
    <w:abstractNumId w:val="4"/>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8"/>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3"/>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40C"/>
    <w:rsid w:val="000C5086"/>
    <w:rsid w:val="0019740C"/>
    <w:rsid w:val="00407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1E2B3-AA66-4DE8-B7F6-02ADD1D11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40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9740C"/>
  </w:style>
  <w:style w:type="character" w:styleId="Hyperlink">
    <w:name w:val="Hyperlink"/>
    <w:basedOn w:val="DefaultParagraphFont"/>
    <w:uiPriority w:val="99"/>
    <w:unhideWhenUsed/>
    <w:rsid w:val="0019740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474558">
      <w:bodyDiv w:val="1"/>
      <w:marLeft w:val="0"/>
      <w:marRight w:val="0"/>
      <w:marTop w:val="0"/>
      <w:marBottom w:val="0"/>
      <w:divBdr>
        <w:top w:val="none" w:sz="0" w:space="0" w:color="auto"/>
        <w:left w:val="none" w:sz="0" w:space="0" w:color="auto"/>
        <w:bottom w:val="none" w:sz="0" w:space="0" w:color="auto"/>
        <w:right w:val="none" w:sz="0" w:space="0" w:color="auto"/>
      </w:divBdr>
    </w:div>
    <w:div w:id="136937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anny.musher@keycaptureenerg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Ragsdale, Kenneth</dc:creator>
  <cp:keywords/>
  <dc:description/>
  <cp:lastModifiedBy>Ragsdale, Kenneth</cp:lastModifiedBy>
  <cp:revision>1</cp:revision>
  <dcterms:created xsi:type="dcterms:W3CDTF">2019-11-12T15:33:00Z</dcterms:created>
  <dcterms:modified xsi:type="dcterms:W3CDTF">2019-11-12T15:40:00Z</dcterms:modified>
</cp:coreProperties>
</file>