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97B9B" w14:textId="5A7AAAC8" w:rsidR="00F056C9" w:rsidRPr="001A13EF" w:rsidRDefault="00F056C9" w:rsidP="00BB44C8">
      <w:pPr>
        <w:spacing w:after="0" w:line="240" w:lineRule="auto"/>
        <w:jc w:val="center"/>
        <w:rPr>
          <w:rFonts w:cstheme="minorHAnsi"/>
          <w:i/>
          <w:color w:val="000000" w:themeColor="text1"/>
          <w:sz w:val="28"/>
          <w:szCs w:val="28"/>
          <w:highlight w:val="yellow"/>
        </w:rPr>
      </w:pPr>
    </w:p>
    <w:p w14:paraId="777BBE5B" w14:textId="46E70F7C" w:rsidR="00F056C9" w:rsidRPr="001A13EF" w:rsidRDefault="008F5506" w:rsidP="009D578A">
      <w:pPr>
        <w:spacing w:after="0" w:line="240" w:lineRule="auto"/>
        <w:jc w:val="center"/>
        <w:rPr>
          <w:rFonts w:cstheme="minorHAnsi"/>
          <w:i/>
          <w:color w:val="000000" w:themeColor="text1"/>
          <w:sz w:val="28"/>
          <w:szCs w:val="28"/>
          <w:highlight w:val="yellow"/>
        </w:rPr>
      </w:pPr>
      <w:r w:rsidRPr="001A13EF">
        <w:rPr>
          <w:rFonts w:cstheme="minorHAnsi"/>
          <w:b/>
          <w:color w:val="000000" w:themeColor="text1"/>
          <w:sz w:val="28"/>
          <w:szCs w:val="28"/>
        </w:rPr>
        <w:t>VPWG</w:t>
      </w:r>
      <w:r w:rsidR="009D578A" w:rsidRPr="001A13EF">
        <w:rPr>
          <w:rFonts w:cstheme="minorHAnsi"/>
          <w:b/>
          <w:color w:val="000000" w:themeColor="text1"/>
          <w:sz w:val="28"/>
          <w:szCs w:val="28"/>
        </w:rPr>
        <w:t xml:space="preserve"> report to </w:t>
      </w:r>
      <w:r w:rsidRPr="001A13EF">
        <w:rPr>
          <w:rFonts w:cstheme="minorHAnsi"/>
          <w:b/>
          <w:color w:val="000000" w:themeColor="text1"/>
          <w:sz w:val="28"/>
          <w:szCs w:val="28"/>
        </w:rPr>
        <w:t>ROS</w:t>
      </w:r>
      <w:r w:rsidR="00F056C9" w:rsidRPr="001A13EF">
        <w:rPr>
          <w:rFonts w:cstheme="minorHAnsi"/>
          <w:b/>
          <w:color w:val="000000" w:themeColor="text1"/>
          <w:sz w:val="28"/>
          <w:szCs w:val="28"/>
        </w:rPr>
        <w:t xml:space="preserve"> – </w:t>
      </w:r>
      <w:r w:rsidR="00FE5A0A" w:rsidRPr="001A13EF">
        <w:rPr>
          <w:rFonts w:cstheme="minorHAnsi"/>
          <w:b/>
          <w:color w:val="000000" w:themeColor="text1"/>
          <w:sz w:val="28"/>
          <w:szCs w:val="28"/>
        </w:rPr>
        <w:t xml:space="preserve">November </w:t>
      </w:r>
      <w:r w:rsidR="00F056C9" w:rsidRPr="001A13EF">
        <w:rPr>
          <w:rFonts w:cstheme="minorHAnsi"/>
          <w:b/>
          <w:color w:val="000000" w:themeColor="text1"/>
          <w:sz w:val="28"/>
          <w:szCs w:val="28"/>
        </w:rPr>
        <w:t>2019</w:t>
      </w:r>
    </w:p>
    <w:p w14:paraId="144C7562" w14:textId="77777777" w:rsidR="00F056C9" w:rsidRPr="001A13EF" w:rsidRDefault="00F056C9" w:rsidP="009D578A">
      <w:pPr>
        <w:spacing w:after="0" w:line="240" w:lineRule="auto"/>
        <w:jc w:val="center"/>
        <w:rPr>
          <w:rFonts w:cstheme="minorHAnsi"/>
          <w:b/>
          <w:color w:val="000000" w:themeColor="text1"/>
          <w:sz w:val="28"/>
          <w:szCs w:val="28"/>
        </w:rPr>
      </w:pPr>
    </w:p>
    <w:p w14:paraId="29F72FA8" w14:textId="402F2975" w:rsidR="00F056C9" w:rsidRPr="001A13EF" w:rsidRDefault="00F056C9" w:rsidP="007D299E">
      <w:pPr>
        <w:spacing w:after="0" w:line="240" w:lineRule="auto"/>
        <w:rPr>
          <w:rFonts w:cstheme="minorHAnsi"/>
          <w:color w:val="000000" w:themeColor="text1"/>
          <w:sz w:val="28"/>
          <w:szCs w:val="28"/>
        </w:rPr>
      </w:pPr>
      <w:r w:rsidRPr="001A13EF">
        <w:rPr>
          <w:rFonts w:cstheme="minorHAnsi"/>
          <w:color w:val="000000" w:themeColor="text1"/>
          <w:sz w:val="28"/>
          <w:szCs w:val="28"/>
        </w:rPr>
        <w:t xml:space="preserve">VPWG </w:t>
      </w:r>
      <w:r w:rsidR="005F6C4B" w:rsidRPr="001A13EF">
        <w:rPr>
          <w:rFonts w:cstheme="minorHAnsi"/>
          <w:color w:val="000000" w:themeColor="text1"/>
          <w:sz w:val="28"/>
          <w:szCs w:val="28"/>
        </w:rPr>
        <w:t>meeting</w:t>
      </w:r>
      <w:r w:rsidR="000E6DFC" w:rsidRPr="001A13EF">
        <w:rPr>
          <w:rFonts w:cstheme="minorHAnsi"/>
          <w:color w:val="000000" w:themeColor="text1"/>
          <w:sz w:val="28"/>
          <w:szCs w:val="28"/>
        </w:rPr>
        <w:t>s</w:t>
      </w:r>
      <w:r w:rsidR="005F6C4B" w:rsidRPr="001A13EF">
        <w:rPr>
          <w:rFonts w:cstheme="minorHAnsi"/>
          <w:color w:val="000000" w:themeColor="text1"/>
          <w:sz w:val="28"/>
          <w:szCs w:val="28"/>
        </w:rPr>
        <w:t xml:space="preserve"> on September 3</w:t>
      </w:r>
      <w:r w:rsidR="000E6DFC" w:rsidRPr="001A13EF">
        <w:rPr>
          <w:rFonts w:cstheme="minorHAnsi"/>
          <w:color w:val="000000" w:themeColor="text1"/>
          <w:sz w:val="28"/>
          <w:szCs w:val="28"/>
        </w:rPr>
        <w:t xml:space="preserve"> and November 5</w:t>
      </w:r>
    </w:p>
    <w:p w14:paraId="7916C3BA" w14:textId="77777777" w:rsidR="007D299E" w:rsidRPr="001A13EF" w:rsidRDefault="007D299E" w:rsidP="007D299E">
      <w:pPr>
        <w:spacing w:after="0" w:line="240" w:lineRule="auto"/>
        <w:rPr>
          <w:rFonts w:cstheme="minorHAnsi"/>
          <w:color w:val="000000" w:themeColor="text1"/>
          <w:sz w:val="28"/>
          <w:szCs w:val="28"/>
        </w:rPr>
      </w:pPr>
    </w:p>
    <w:p w14:paraId="39DBD725" w14:textId="1043AFE7" w:rsidR="007D299E" w:rsidRPr="001A13EF" w:rsidRDefault="007D299E" w:rsidP="007D299E">
      <w:pPr>
        <w:pStyle w:val="ListParagraph"/>
        <w:numPr>
          <w:ilvl w:val="0"/>
          <w:numId w:val="1"/>
        </w:numPr>
        <w:spacing w:after="0" w:line="240" w:lineRule="auto"/>
        <w:rPr>
          <w:rFonts w:cstheme="minorHAnsi"/>
          <w:color w:val="000000" w:themeColor="text1"/>
          <w:sz w:val="28"/>
          <w:szCs w:val="28"/>
        </w:rPr>
      </w:pPr>
      <w:r w:rsidRPr="001A13EF">
        <w:rPr>
          <w:rFonts w:cstheme="minorHAnsi"/>
          <w:color w:val="000000" w:themeColor="text1"/>
          <w:sz w:val="28"/>
          <w:szCs w:val="28"/>
        </w:rPr>
        <w:t>Kickoff of the case building for Winter/Spring 2020 voltage profile studies</w:t>
      </w:r>
      <w:r w:rsidR="000C5932" w:rsidRPr="001A13EF">
        <w:rPr>
          <w:rFonts w:cstheme="minorHAnsi"/>
          <w:color w:val="000000" w:themeColor="text1"/>
          <w:sz w:val="28"/>
          <w:szCs w:val="28"/>
        </w:rPr>
        <w:t>. Currently in Pass 3 of changes. Voltage profile to be posted December 1.</w:t>
      </w:r>
    </w:p>
    <w:p w14:paraId="2F381FB9" w14:textId="77777777" w:rsidR="00506B8C" w:rsidRPr="001A13EF" w:rsidRDefault="00506B8C" w:rsidP="00506B8C">
      <w:pPr>
        <w:pStyle w:val="ListParagraph"/>
        <w:spacing w:after="0" w:line="240" w:lineRule="auto"/>
        <w:rPr>
          <w:rFonts w:cstheme="minorHAnsi"/>
          <w:color w:val="000000" w:themeColor="text1"/>
          <w:sz w:val="28"/>
          <w:szCs w:val="28"/>
        </w:rPr>
      </w:pPr>
    </w:p>
    <w:p w14:paraId="4A1827E0" w14:textId="77777777" w:rsidR="005B490A" w:rsidRPr="001A13EF" w:rsidRDefault="007D299E" w:rsidP="007D299E">
      <w:pPr>
        <w:pStyle w:val="ListParagraph"/>
        <w:numPr>
          <w:ilvl w:val="0"/>
          <w:numId w:val="1"/>
        </w:numPr>
        <w:spacing w:after="0" w:line="240" w:lineRule="auto"/>
        <w:rPr>
          <w:rFonts w:cstheme="minorHAnsi"/>
          <w:color w:val="000000" w:themeColor="text1"/>
          <w:sz w:val="28"/>
          <w:szCs w:val="28"/>
        </w:rPr>
      </w:pPr>
      <w:r w:rsidRPr="001A13EF">
        <w:rPr>
          <w:rFonts w:cstheme="minorHAnsi"/>
          <w:color w:val="000000" w:themeColor="text1"/>
          <w:sz w:val="28"/>
          <w:szCs w:val="28"/>
        </w:rPr>
        <w:t xml:space="preserve">Reviewed language in NPRR966 to support Reactive Power Coordination Tool (RPC).  Some concerns expressed about it being premature and too prescriptive. </w:t>
      </w:r>
    </w:p>
    <w:p w14:paraId="5827DDB4" w14:textId="77777777" w:rsidR="0078170B" w:rsidRPr="001A13EF" w:rsidRDefault="0078170B" w:rsidP="005B490A">
      <w:pPr>
        <w:pStyle w:val="ListParagraph"/>
        <w:rPr>
          <w:rFonts w:cstheme="minorHAnsi"/>
          <w:color w:val="000000" w:themeColor="text1"/>
          <w:sz w:val="28"/>
          <w:szCs w:val="28"/>
        </w:rPr>
      </w:pPr>
    </w:p>
    <w:p w14:paraId="4A9391D7" w14:textId="1B47F020" w:rsidR="00506B8C" w:rsidRPr="001A13EF" w:rsidRDefault="005B490A" w:rsidP="002E0B4F">
      <w:pPr>
        <w:pStyle w:val="ListParagraph"/>
        <w:numPr>
          <w:ilvl w:val="0"/>
          <w:numId w:val="1"/>
        </w:numPr>
        <w:spacing w:after="0" w:line="240" w:lineRule="auto"/>
        <w:rPr>
          <w:rFonts w:cstheme="minorHAnsi"/>
          <w:color w:val="000000" w:themeColor="text1"/>
          <w:sz w:val="28"/>
          <w:szCs w:val="28"/>
        </w:rPr>
      </w:pPr>
      <w:r w:rsidRPr="001A13EF">
        <w:rPr>
          <w:rFonts w:cstheme="minorHAnsi"/>
          <w:color w:val="000000" w:themeColor="text1"/>
          <w:sz w:val="28"/>
          <w:szCs w:val="28"/>
        </w:rPr>
        <w:t xml:space="preserve">ERCOT provided update on the RPC tool. Tool moving out of proof of concept state into active development but it would still take time and testing before becoming fully operational. </w:t>
      </w:r>
      <w:r w:rsidR="00D81F04" w:rsidRPr="001A13EF">
        <w:rPr>
          <w:rFonts w:cstheme="minorHAnsi"/>
          <w:color w:val="000000" w:themeColor="text1"/>
          <w:sz w:val="28"/>
          <w:szCs w:val="28"/>
        </w:rPr>
        <w:t xml:space="preserve">Expected benefits include better voltage control with so many inverter based generators. Also total number of switching of reactive devices may be less. May also provide better transfer capability by the optimization of reactive devices. </w:t>
      </w:r>
      <w:r w:rsidR="00A77F27" w:rsidRPr="001A13EF">
        <w:rPr>
          <w:rFonts w:cstheme="minorHAnsi"/>
          <w:color w:val="000000" w:themeColor="text1"/>
          <w:sz w:val="28"/>
          <w:szCs w:val="28"/>
        </w:rPr>
        <w:t>Some c</w:t>
      </w:r>
      <w:r w:rsidRPr="001A13EF">
        <w:rPr>
          <w:rFonts w:cstheme="minorHAnsi"/>
          <w:color w:val="000000" w:themeColor="text1"/>
          <w:sz w:val="28"/>
          <w:szCs w:val="28"/>
        </w:rPr>
        <w:t xml:space="preserve">oncerns about the linear solution </w:t>
      </w:r>
      <w:r w:rsidR="00A77F27" w:rsidRPr="001A13EF">
        <w:rPr>
          <w:rFonts w:cstheme="minorHAnsi"/>
          <w:color w:val="000000" w:themeColor="text1"/>
          <w:sz w:val="28"/>
          <w:szCs w:val="28"/>
        </w:rPr>
        <w:t xml:space="preserve">technique </w:t>
      </w:r>
      <w:r w:rsidRPr="001A13EF">
        <w:rPr>
          <w:rFonts w:cstheme="minorHAnsi"/>
          <w:color w:val="000000" w:themeColor="text1"/>
          <w:sz w:val="28"/>
          <w:szCs w:val="28"/>
        </w:rPr>
        <w:t xml:space="preserve">in the OPF. </w:t>
      </w:r>
    </w:p>
    <w:p w14:paraId="00D7ECC8" w14:textId="77777777" w:rsidR="0078170B" w:rsidRPr="001A13EF" w:rsidRDefault="0078170B" w:rsidP="00A77F27">
      <w:pPr>
        <w:pStyle w:val="ListParagraph"/>
        <w:rPr>
          <w:rFonts w:cstheme="minorHAnsi"/>
          <w:color w:val="000000" w:themeColor="text1"/>
          <w:sz w:val="28"/>
          <w:szCs w:val="28"/>
        </w:rPr>
      </w:pPr>
    </w:p>
    <w:p w14:paraId="7261E90A" w14:textId="36133C2B" w:rsidR="003349A7" w:rsidRPr="001A13EF" w:rsidRDefault="007D299E" w:rsidP="003349A7">
      <w:pPr>
        <w:pStyle w:val="ListParagraph"/>
        <w:numPr>
          <w:ilvl w:val="0"/>
          <w:numId w:val="1"/>
        </w:numPr>
        <w:spacing w:after="0" w:line="240" w:lineRule="auto"/>
        <w:rPr>
          <w:rFonts w:cstheme="minorHAnsi"/>
          <w:color w:val="000000" w:themeColor="text1"/>
          <w:sz w:val="28"/>
          <w:szCs w:val="28"/>
        </w:rPr>
      </w:pPr>
      <w:r w:rsidRPr="001A13EF">
        <w:rPr>
          <w:rFonts w:cstheme="minorHAnsi"/>
          <w:color w:val="000000" w:themeColor="text1"/>
          <w:sz w:val="28"/>
          <w:szCs w:val="28"/>
        </w:rPr>
        <w:t xml:space="preserve">Discussed NOGRR195 which focused on </w:t>
      </w:r>
      <w:r w:rsidR="00572C6F">
        <w:rPr>
          <w:rFonts w:cstheme="minorHAnsi"/>
          <w:color w:val="000000" w:themeColor="text1"/>
          <w:sz w:val="28"/>
          <w:szCs w:val="28"/>
        </w:rPr>
        <w:t xml:space="preserve">1) the notification timeline between QSE, Resources, TO and ERCOT when there are deviations from the voltage set point 2) </w:t>
      </w:r>
      <w:r w:rsidRPr="001A13EF">
        <w:rPr>
          <w:rFonts w:cstheme="minorHAnsi"/>
          <w:color w:val="000000" w:themeColor="text1"/>
          <w:sz w:val="28"/>
          <w:szCs w:val="28"/>
        </w:rPr>
        <w:t xml:space="preserve">tightening the existing generator tolerance band from +/- 2% </w:t>
      </w:r>
      <w:r w:rsidR="005C3C98" w:rsidRPr="001A13EF">
        <w:rPr>
          <w:rFonts w:cstheme="minorHAnsi"/>
          <w:color w:val="000000" w:themeColor="text1"/>
          <w:sz w:val="28"/>
          <w:szCs w:val="28"/>
        </w:rPr>
        <w:t xml:space="preserve">of voltage set point </w:t>
      </w:r>
      <w:r w:rsidRPr="001A13EF">
        <w:rPr>
          <w:rFonts w:cstheme="minorHAnsi"/>
          <w:color w:val="000000" w:themeColor="text1"/>
          <w:sz w:val="28"/>
          <w:szCs w:val="28"/>
        </w:rPr>
        <w:t xml:space="preserve">to kV levels. </w:t>
      </w:r>
      <w:r w:rsidR="001A13EF">
        <w:rPr>
          <w:rFonts w:cstheme="minorHAnsi"/>
          <w:color w:val="000000" w:themeColor="text1"/>
          <w:sz w:val="28"/>
          <w:szCs w:val="28"/>
        </w:rPr>
        <w:t>ERCOT stated</w:t>
      </w:r>
      <w:r w:rsidR="007C0F61" w:rsidRPr="001A13EF">
        <w:rPr>
          <w:rFonts w:cstheme="minorHAnsi"/>
          <w:color w:val="000000" w:themeColor="text1"/>
          <w:sz w:val="28"/>
          <w:szCs w:val="28"/>
        </w:rPr>
        <w:t xml:space="preserve"> t</w:t>
      </w:r>
      <w:r w:rsidR="001A13EF" w:rsidRPr="001A13EF">
        <w:rPr>
          <w:rFonts w:cstheme="minorHAnsi"/>
          <w:color w:val="000000" w:themeColor="text1"/>
          <w:sz w:val="28"/>
          <w:szCs w:val="28"/>
        </w:rPr>
        <w:t>hat, in looking at PI data, a majority of</w:t>
      </w:r>
      <w:r w:rsidR="001A13EF">
        <w:rPr>
          <w:rFonts w:cstheme="minorHAnsi"/>
          <w:color w:val="000000" w:themeColor="text1"/>
          <w:sz w:val="28"/>
          <w:szCs w:val="28"/>
        </w:rPr>
        <w:t xml:space="preserve"> generator</w:t>
      </w:r>
      <w:r w:rsidR="007C0F61" w:rsidRPr="001A13EF">
        <w:rPr>
          <w:rFonts w:cstheme="minorHAnsi"/>
          <w:color w:val="000000" w:themeColor="text1"/>
          <w:sz w:val="28"/>
          <w:szCs w:val="28"/>
        </w:rPr>
        <w:t xml:space="preserve"> </w:t>
      </w:r>
      <w:r w:rsidR="005142E2" w:rsidRPr="001A13EF">
        <w:rPr>
          <w:rFonts w:cstheme="minorHAnsi"/>
          <w:color w:val="000000" w:themeColor="text1"/>
          <w:sz w:val="28"/>
          <w:szCs w:val="28"/>
        </w:rPr>
        <w:t xml:space="preserve">set points were within the proposed tolerance bands. </w:t>
      </w:r>
      <w:r w:rsidR="003349A7">
        <w:rPr>
          <w:rFonts w:cstheme="minorHAnsi"/>
          <w:color w:val="000000" w:themeColor="text1"/>
          <w:sz w:val="28"/>
          <w:szCs w:val="28"/>
        </w:rPr>
        <w:t>However, there was some c</w:t>
      </w:r>
      <w:r w:rsidR="003349A7" w:rsidRPr="001A13EF">
        <w:rPr>
          <w:rFonts w:cstheme="minorHAnsi"/>
          <w:color w:val="000000" w:themeColor="text1"/>
          <w:sz w:val="28"/>
          <w:szCs w:val="28"/>
        </w:rPr>
        <w:t>oncern</w:t>
      </w:r>
      <w:r w:rsidR="003349A7">
        <w:rPr>
          <w:rFonts w:cstheme="minorHAnsi"/>
          <w:color w:val="000000" w:themeColor="text1"/>
          <w:sz w:val="28"/>
          <w:szCs w:val="28"/>
        </w:rPr>
        <w:t xml:space="preserve"> for at least one TO </w:t>
      </w:r>
      <w:r w:rsidR="00572C6F">
        <w:rPr>
          <w:rFonts w:cstheme="minorHAnsi"/>
          <w:color w:val="000000" w:themeColor="text1"/>
          <w:sz w:val="28"/>
          <w:szCs w:val="28"/>
        </w:rPr>
        <w:t xml:space="preserve">with the +/- 3 kV tolerance band for 345 kV POI needing more frequent adjustments </w:t>
      </w:r>
      <w:r w:rsidR="003349A7" w:rsidRPr="001A13EF">
        <w:rPr>
          <w:rFonts w:cstheme="minorHAnsi"/>
          <w:color w:val="000000" w:themeColor="text1"/>
          <w:sz w:val="28"/>
          <w:szCs w:val="28"/>
        </w:rPr>
        <w:t>to the</w:t>
      </w:r>
      <w:r w:rsidR="00572C6F" w:rsidRPr="00572C6F">
        <w:rPr>
          <w:rFonts w:cstheme="minorHAnsi"/>
          <w:color w:val="000000" w:themeColor="text1"/>
          <w:sz w:val="28"/>
          <w:szCs w:val="28"/>
        </w:rPr>
        <w:t xml:space="preserve"> </w:t>
      </w:r>
      <w:r w:rsidR="00572C6F" w:rsidRPr="001A13EF">
        <w:rPr>
          <w:rFonts w:cstheme="minorHAnsi"/>
          <w:color w:val="000000" w:themeColor="text1"/>
          <w:sz w:val="28"/>
          <w:szCs w:val="28"/>
        </w:rPr>
        <w:t xml:space="preserve">reactive power </w:t>
      </w:r>
      <w:r w:rsidR="00572C6F">
        <w:rPr>
          <w:rFonts w:cstheme="minorHAnsi"/>
          <w:color w:val="000000" w:themeColor="text1"/>
          <w:sz w:val="28"/>
          <w:szCs w:val="28"/>
        </w:rPr>
        <w:t xml:space="preserve">devices or voltage set point. </w:t>
      </w:r>
    </w:p>
    <w:p w14:paraId="42B3F13E" w14:textId="77777777" w:rsidR="00B72CFB" w:rsidRDefault="00B72CFB" w:rsidP="0038472F">
      <w:pPr>
        <w:pStyle w:val="ListParagraph"/>
        <w:spacing w:after="0" w:line="240" w:lineRule="auto"/>
        <w:rPr>
          <w:rFonts w:cstheme="minorHAnsi"/>
          <w:color w:val="000000" w:themeColor="text1"/>
          <w:sz w:val="28"/>
          <w:szCs w:val="28"/>
        </w:rPr>
      </w:pPr>
    </w:p>
    <w:p w14:paraId="68DAA81A" w14:textId="3DCD82B2" w:rsidR="005B1BFD" w:rsidRPr="001A13EF" w:rsidRDefault="0038472F" w:rsidP="0038472F">
      <w:pPr>
        <w:pStyle w:val="ListParagraph"/>
        <w:spacing w:after="0" w:line="240" w:lineRule="auto"/>
        <w:rPr>
          <w:rFonts w:cstheme="minorHAnsi"/>
          <w:color w:val="000000" w:themeColor="text1"/>
          <w:sz w:val="28"/>
          <w:szCs w:val="28"/>
        </w:rPr>
      </w:pPr>
      <w:r w:rsidRPr="001A13EF">
        <w:rPr>
          <w:rFonts w:cstheme="minorHAnsi"/>
          <w:color w:val="000000" w:themeColor="text1"/>
          <w:sz w:val="28"/>
          <w:szCs w:val="28"/>
        </w:rPr>
        <w:t>Matthew A. Lewis</w:t>
      </w:r>
    </w:p>
    <w:p w14:paraId="1820274F" w14:textId="55D17C82" w:rsidR="0038472F" w:rsidRPr="001A13EF" w:rsidRDefault="005B1BFD" w:rsidP="0038472F">
      <w:pPr>
        <w:pStyle w:val="ListParagraph"/>
        <w:spacing w:after="0" w:line="240" w:lineRule="auto"/>
        <w:rPr>
          <w:rFonts w:cstheme="minorHAnsi"/>
          <w:color w:val="000000" w:themeColor="text1"/>
          <w:sz w:val="28"/>
          <w:szCs w:val="28"/>
        </w:rPr>
      </w:pPr>
      <w:r w:rsidRPr="001A13EF">
        <w:rPr>
          <w:rFonts w:cstheme="minorHAnsi"/>
          <w:color w:val="000000" w:themeColor="text1"/>
          <w:sz w:val="28"/>
          <w:szCs w:val="28"/>
        </w:rPr>
        <w:t>AEP</w:t>
      </w:r>
      <w:r w:rsidR="0038472F" w:rsidRPr="001A13EF">
        <w:rPr>
          <w:rFonts w:cstheme="minorHAnsi"/>
          <w:color w:val="000000" w:themeColor="text1"/>
          <w:sz w:val="28"/>
          <w:szCs w:val="28"/>
        </w:rPr>
        <w:tab/>
      </w:r>
      <w:r w:rsidR="0038472F" w:rsidRPr="001A13EF">
        <w:rPr>
          <w:rFonts w:cstheme="minorHAnsi"/>
          <w:color w:val="000000" w:themeColor="text1"/>
          <w:sz w:val="28"/>
          <w:szCs w:val="28"/>
        </w:rPr>
        <w:tab/>
      </w:r>
      <w:r w:rsidR="0038472F" w:rsidRPr="001A13EF">
        <w:rPr>
          <w:rFonts w:cstheme="minorHAnsi"/>
          <w:color w:val="000000" w:themeColor="text1"/>
          <w:sz w:val="28"/>
          <w:szCs w:val="28"/>
        </w:rPr>
        <w:tab/>
      </w:r>
      <w:r w:rsidR="0038472F" w:rsidRPr="001A13EF">
        <w:rPr>
          <w:rFonts w:cstheme="minorHAnsi"/>
          <w:color w:val="000000" w:themeColor="text1"/>
          <w:sz w:val="28"/>
          <w:szCs w:val="28"/>
        </w:rPr>
        <w:tab/>
      </w:r>
      <w:r w:rsidR="0038472F" w:rsidRPr="001A13EF">
        <w:rPr>
          <w:rFonts w:cstheme="minorHAnsi"/>
          <w:color w:val="000000" w:themeColor="text1"/>
          <w:sz w:val="28"/>
          <w:szCs w:val="28"/>
        </w:rPr>
        <w:tab/>
      </w:r>
      <w:r w:rsidR="0038472F" w:rsidRPr="001A13EF">
        <w:rPr>
          <w:rFonts w:cstheme="minorHAnsi"/>
          <w:color w:val="000000" w:themeColor="text1"/>
          <w:sz w:val="28"/>
          <w:szCs w:val="28"/>
        </w:rPr>
        <w:tab/>
      </w:r>
    </w:p>
    <w:p w14:paraId="62B95786" w14:textId="46DEFC67" w:rsidR="0038472F" w:rsidRPr="001A13EF" w:rsidRDefault="0038472F" w:rsidP="0020394D">
      <w:pPr>
        <w:pStyle w:val="ListParagraph"/>
        <w:spacing w:after="0" w:line="240" w:lineRule="auto"/>
        <w:rPr>
          <w:rFonts w:cstheme="minorHAnsi"/>
          <w:color w:val="000000" w:themeColor="text1"/>
          <w:sz w:val="28"/>
          <w:szCs w:val="28"/>
        </w:rPr>
      </w:pPr>
      <w:r w:rsidRPr="001A13EF">
        <w:rPr>
          <w:rFonts w:cstheme="minorHAnsi"/>
          <w:color w:val="000000" w:themeColor="text1"/>
          <w:sz w:val="28"/>
          <w:szCs w:val="28"/>
        </w:rPr>
        <w:t>Chair</w:t>
      </w:r>
      <w:r w:rsidRPr="001A13EF">
        <w:rPr>
          <w:rFonts w:cstheme="minorHAnsi"/>
          <w:color w:val="000000" w:themeColor="text1"/>
          <w:sz w:val="28"/>
          <w:szCs w:val="28"/>
        </w:rPr>
        <w:tab/>
      </w:r>
      <w:r w:rsidRPr="001A13EF">
        <w:rPr>
          <w:rFonts w:cstheme="minorHAnsi"/>
          <w:color w:val="000000" w:themeColor="text1"/>
          <w:sz w:val="28"/>
          <w:szCs w:val="28"/>
        </w:rPr>
        <w:tab/>
      </w:r>
      <w:r w:rsidRPr="001A13EF">
        <w:rPr>
          <w:rFonts w:cstheme="minorHAnsi"/>
          <w:color w:val="000000" w:themeColor="text1"/>
          <w:sz w:val="28"/>
          <w:szCs w:val="28"/>
        </w:rPr>
        <w:tab/>
      </w:r>
    </w:p>
    <w:p w14:paraId="4B6A439C" w14:textId="77777777" w:rsidR="006634A9" w:rsidRPr="001A13EF" w:rsidRDefault="006634A9" w:rsidP="00F056C9">
      <w:pPr>
        <w:pStyle w:val="ListParagraph"/>
        <w:spacing w:after="0" w:line="240" w:lineRule="auto"/>
        <w:rPr>
          <w:rFonts w:cstheme="minorHAnsi"/>
          <w:color w:val="000000" w:themeColor="text1"/>
          <w:sz w:val="28"/>
          <w:szCs w:val="28"/>
        </w:rPr>
      </w:pPr>
    </w:p>
    <w:p w14:paraId="01743138" w14:textId="00CAE470" w:rsidR="0020394D" w:rsidRPr="001A13EF" w:rsidRDefault="0020394D" w:rsidP="00F056C9">
      <w:pPr>
        <w:pStyle w:val="ListParagraph"/>
        <w:spacing w:after="0" w:line="240" w:lineRule="auto"/>
        <w:rPr>
          <w:rFonts w:cstheme="minorHAnsi"/>
          <w:color w:val="000000" w:themeColor="text1"/>
          <w:sz w:val="28"/>
          <w:szCs w:val="28"/>
        </w:rPr>
      </w:pPr>
      <w:r w:rsidRPr="001A13EF">
        <w:rPr>
          <w:rFonts w:cstheme="minorHAnsi"/>
          <w:color w:val="000000" w:themeColor="text1"/>
          <w:sz w:val="28"/>
          <w:szCs w:val="28"/>
        </w:rPr>
        <w:t>Biju Mathew</w:t>
      </w:r>
    </w:p>
    <w:p w14:paraId="60A274FF" w14:textId="4F7CBEDE" w:rsidR="005B1BFD" w:rsidRPr="001A13EF" w:rsidRDefault="005B1BFD" w:rsidP="00F056C9">
      <w:pPr>
        <w:pStyle w:val="ListParagraph"/>
        <w:spacing w:after="0" w:line="240" w:lineRule="auto"/>
        <w:rPr>
          <w:rFonts w:cstheme="minorHAnsi"/>
          <w:color w:val="000000" w:themeColor="text1"/>
          <w:sz w:val="28"/>
          <w:szCs w:val="28"/>
        </w:rPr>
      </w:pPr>
      <w:r w:rsidRPr="001A13EF">
        <w:rPr>
          <w:rFonts w:cstheme="minorHAnsi"/>
          <w:color w:val="000000" w:themeColor="text1"/>
          <w:sz w:val="28"/>
          <w:szCs w:val="28"/>
        </w:rPr>
        <w:t xml:space="preserve">LCRA </w:t>
      </w:r>
    </w:p>
    <w:p w14:paraId="6D7A1D82" w14:textId="7D0D191F" w:rsidR="0020394D" w:rsidRPr="001A13EF" w:rsidRDefault="0020394D" w:rsidP="00F056C9">
      <w:pPr>
        <w:pStyle w:val="ListParagraph"/>
        <w:spacing w:after="0" w:line="240" w:lineRule="auto"/>
        <w:rPr>
          <w:rFonts w:cstheme="minorHAnsi"/>
          <w:color w:val="000000" w:themeColor="text1"/>
          <w:sz w:val="28"/>
          <w:szCs w:val="28"/>
        </w:rPr>
      </w:pPr>
      <w:r w:rsidRPr="001A13EF">
        <w:rPr>
          <w:rFonts w:cstheme="minorHAnsi"/>
          <w:color w:val="000000" w:themeColor="text1"/>
          <w:sz w:val="28"/>
          <w:szCs w:val="28"/>
        </w:rPr>
        <w:t>Vice Chair</w:t>
      </w:r>
    </w:p>
    <w:p w14:paraId="46B09D59" w14:textId="77777777" w:rsidR="006634A9" w:rsidRPr="001A13EF" w:rsidRDefault="006634A9" w:rsidP="00F056C9">
      <w:pPr>
        <w:pStyle w:val="ListParagraph"/>
        <w:spacing w:after="0" w:line="240" w:lineRule="auto"/>
        <w:rPr>
          <w:rFonts w:cstheme="minorHAnsi"/>
          <w:color w:val="000000" w:themeColor="text1"/>
          <w:sz w:val="28"/>
          <w:szCs w:val="28"/>
        </w:rPr>
      </w:pPr>
      <w:bookmarkStart w:id="0" w:name="_GoBack"/>
      <w:bookmarkEnd w:id="0"/>
    </w:p>
    <w:sectPr w:rsidR="006634A9" w:rsidRPr="001A1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A615A"/>
    <w:multiLevelType w:val="hybridMultilevel"/>
    <w:tmpl w:val="3870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C8"/>
    <w:rsid w:val="000348D1"/>
    <w:rsid w:val="00071559"/>
    <w:rsid w:val="000A77F8"/>
    <w:rsid w:val="000B2978"/>
    <w:rsid w:val="000C5932"/>
    <w:rsid w:val="000C6423"/>
    <w:rsid w:val="000D737B"/>
    <w:rsid w:val="000E2788"/>
    <w:rsid w:val="000E6DFC"/>
    <w:rsid w:val="0015554C"/>
    <w:rsid w:val="00157368"/>
    <w:rsid w:val="001875D3"/>
    <w:rsid w:val="001A13EF"/>
    <w:rsid w:val="001E1927"/>
    <w:rsid w:val="0020394D"/>
    <w:rsid w:val="00272DFB"/>
    <w:rsid w:val="002E17F6"/>
    <w:rsid w:val="003349A7"/>
    <w:rsid w:val="00361B6C"/>
    <w:rsid w:val="00377B56"/>
    <w:rsid w:val="0038154F"/>
    <w:rsid w:val="0038472F"/>
    <w:rsid w:val="003B50A5"/>
    <w:rsid w:val="003D50AC"/>
    <w:rsid w:val="003D6839"/>
    <w:rsid w:val="004A60DB"/>
    <w:rsid w:val="00506B8C"/>
    <w:rsid w:val="005142E2"/>
    <w:rsid w:val="00572C6F"/>
    <w:rsid w:val="005B1BFD"/>
    <w:rsid w:val="005B490A"/>
    <w:rsid w:val="005C3C98"/>
    <w:rsid w:val="005D7967"/>
    <w:rsid w:val="005F0526"/>
    <w:rsid w:val="005F6C4B"/>
    <w:rsid w:val="00623D76"/>
    <w:rsid w:val="006634A9"/>
    <w:rsid w:val="00704748"/>
    <w:rsid w:val="007636E3"/>
    <w:rsid w:val="0078170B"/>
    <w:rsid w:val="007903A7"/>
    <w:rsid w:val="007C0F61"/>
    <w:rsid w:val="007D299E"/>
    <w:rsid w:val="00811665"/>
    <w:rsid w:val="008F5506"/>
    <w:rsid w:val="0093276F"/>
    <w:rsid w:val="00967D12"/>
    <w:rsid w:val="009B7862"/>
    <w:rsid w:val="009D578A"/>
    <w:rsid w:val="00A506BD"/>
    <w:rsid w:val="00A77F27"/>
    <w:rsid w:val="00B6343B"/>
    <w:rsid w:val="00B72CFB"/>
    <w:rsid w:val="00BB0F6C"/>
    <w:rsid w:val="00BB44C8"/>
    <w:rsid w:val="00BD11D2"/>
    <w:rsid w:val="00C1283C"/>
    <w:rsid w:val="00D4683A"/>
    <w:rsid w:val="00D81F04"/>
    <w:rsid w:val="00E87C5D"/>
    <w:rsid w:val="00EC251A"/>
    <w:rsid w:val="00EF1ACA"/>
    <w:rsid w:val="00F056C9"/>
    <w:rsid w:val="00FC1961"/>
    <w:rsid w:val="00FE31F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C8D1"/>
  <w15:docId w15:val="{2DDDF2C8-C496-459E-86D1-D31D4EE0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4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39"/>
    <w:rPr>
      <w:rFonts w:ascii="Segoe UI" w:hAnsi="Segoe UI" w:cs="Segoe UI"/>
      <w:sz w:val="18"/>
      <w:szCs w:val="18"/>
    </w:rPr>
  </w:style>
  <w:style w:type="paragraph" w:styleId="ListParagraph">
    <w:name w:val="List Paragraph"/>
    <w:basedOn w:val="Normal"/>
    <w:uiPriority w:val="34"/>
    <w:qFormat/>
    <w:rsid w:val="00F05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89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EDA9E15B79040BD6CD13FB611D44B" ma:contentTypeVersion="0" ma:contentTypeDescription="Create a new document." ma:contentTypeScope="" ma:versionID="cbd2646a5b2958cd721cfc425996c8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D81BF-5770-40AF-AB22-BA74F3A2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D55134-6665-4D44-A1CC-FD9BEA12B35F}">
  <ds:schemaRefs>
    <ds:schemaRef ds:uri="http://schemas.microsoft.com/sharepoint/v3/contenttype/forms"/>
  </ds:schemaRefs>
</ds:datastoreItem>
</file>

<file path=customXml/itemProps3.xml><?xml version="1.0" encoding="utf-8"?>
<ds:datastoreItem xmlns:ds="http://schemas.openxmlformats.org/officeDocument/2006/customXml" ds:itemID="{A3DD24C9-4B5E-446D-818C-1CBF7DF7909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Lower Colorado River Authority</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Biju Mathew</dc:creator>
  <cp:lastModifiedBy>Biju Mathew</cp:lastModifiedBy>
  <cp:revision>2</cp:revision>
  <cp:lastPrinted>2019-11-05T20:25:00Z</cp:lastPrinted>
  <dcterms:created xsi:type="dcterms:W3CDTF">2019-11-05T20:28:00Z</dcterms:created>
  <dcterms:modified xsi:type="dcterms:W3CDTF">2019-11-05T20:28:00Z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0x010100862EDA9E15B79040BD6CD13FB611D44B</vt:lpwstr>
  </property>
</Properties>
</file>