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4E0A2020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67424" w14:textId="77777777"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8A23EA7" w14:textId="77777777" w:rsidR="00067FE2" w:rsidRPr="00073E79" w:rsidRDefault="005A5368" w:rsidP="00D90D1A">
            <w:pPr>
              <w:pStyle w:val="Header"/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A61A2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0790834F" w14:textId="77777777" w:rsidR="00067FE2" w:rsidRPr="00073E79" w:rsidRDefault="005A5368" w:rsidP="00573610">
            <w:pPr>
              <w:pStyle w:val="Header"/>
            </w:pPr>
            <w:r w:rsidRPr="005A5368">
              <w:t>ESR - Study &amp; Capacity Assumptions</w:t>
            </w:r>
          </w:p>
        </w:tc>
      </w:tr>
      <w:tr w:rsidR="00067FE2" w:rsidRPr="00E01925" w14:paraId="0C35A6B8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757F4ED4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300007BD" w14:textId="77777777" w:rsidR="00067FE2" w:rsidRPr="00073E79" w:rsidRDefault="00685CC4" w:rsidP="00D94355">
            <w:pPr>
              <w:pStyle w:val="NormalArial"/>
            </w:pPr>
            <w:r w:rsidRPr="00073E79">
              <w:t>October 22</w:t>
            </w:r>
            <w:r w:rsidR="00D90D1A" w:rsidRPr="00073E79">
              <w:t>, 2019</w:t>
            </w:r>
          </w:p>
        </w:tc>
        <w:bookmarkStart w:id="0" w:name="_GoBack"/>
        <w:bookmarkEnd w:id="0"/>
      </w:tr>
      <w:tr w:rsidR="00067FE2" w14:paraId="664FA3AE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99825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78DD" w14:textId="77777777" w:rsidR="00067FE2" w:rsidRDefault="00067FE2" w:rsidP="00F44236">
            <w:pPr>
              <w:pStyle w:val="NormalArial"/>
            </w:pPr>
          </w:p>
        </w:tc>
      </w:tr>
      <w:tr w:rsidR="009D17F0" w14:paraId="7BDD844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73716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F18F78B" w14:textId="25AE6F74" w:rsidR="00D90D1A" w:rsidRPr="00A4474E" w:rsidRDefault="00C15631" w:rsidP="008E5AE0">
            <w:pPr>
              <w:pStyle w:val="NormalArial"/>
              <w:spacing w:before="120" w:after="120"/>
            </w:pPr>
            <w:r w:rsidRPr="00A4474E">
              <w:t xml:space="preserve">This KTC recommends how </w:t>
            </w:r>
            <w:r w:rsidR="00495A65" w:rsidRPr="00495A65">
              <w:t xml:space="preserve">Energy Storage Resources </w:t>
            </w:r>
            <w:r w:rsidR="00495A65">
              <w:t>(</w:t>
            </w:r>
            <w:r w:rsidRPr="00A4474E">
              <w:t>ESRs</w:t>
            </w:r>
            <w:r w:rsidR="00495A65">
              <w:t>)</w:t>
            </w:r>
            <w:r w:rsidRPr="00A4474E">
              <w:t xml:space="preserve"> shall be treated in Reliability Unit Commitment </w:t>
            </w:r>
            <w:r w:rsidR="00495A65">
              <w:t xml:space="preserve">(RUC) </w:t>
            </w:r>
            <w:r w:rsidRPr="00A4474E">
              <w:t>studies and other capacity assumptions.</w:t>
            </w:r>
          </w:p>
        </w:tc>
      </w:tr>
      <w:tr w:rsidR="00782371" w14:paraId="27478D1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9AB6E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65A287FB" w14:textId="2FF66DB6" w:rsidR="00782371" w:rsidRPr="00A4474E" w:rsidRDefault="00C15631" w:rsidP="00290376">
            <w:pPr>
              <w:pStyle w:val="NormalArial"/>
              <w:spacing w:before="120" w:after="120"/>
            </w:pPr>
            <w:r w:rsidRPr="00A4474E">
              <w:t>ESRs shall be treated similar to other short lead-time Resources.</w:t>
            </w:r>
            <w:r w:rsidR="00A4474E" w:rsidRPr="00A4474E">
              <w:t xml:space="preserve">  The RUC engine shall evaluate ESRs based on the values provided in their Current Operating Plan </w:t>
            </w:r>
            <w:r w:rsidR="00495A65">
              <w:t xml:space="preserve">(COP) </w:t>
            </w:r>
            <w:r w:rsidR="00A4474E" w:rsidRPr="00A4474E">
              <w:t>that reflect their expected available capacity.</w:t>
            </w:r>
          </w:p>
        </w:tc>
      </w:tr>
      <w:tr w:rsidR="009D17F0" w14:paraId="5337D3C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D5EB5" w14:textId="77777777"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9274967" w14:textId="2EA1A868" w:rsidR="0042743C" w:rsidRPr="00073E79" w:rsidRDefault="00073E79" w:rsidP="005A5368">
            <w:pPr>
              <w:pStyle w:val="NormalArial"/>
              <w:spacing w:before="120" w:after="120"/>
            </w:pPr>
            <w:r w:rsidRPr="00073E79">
              <w:t xml:space="preserve">On 10/18/19, ERCOT staff presented </w:t>
            </w:r>
            <w:r w:rsidR="005A5368">
              <w:t xml:space="preserve">material related </w:t>
            </w:r>
            <w:r w:rsidR="00F8468A">
              <w:t>to RUC</w:t>
            </w:r>
            <w:r w:rsidR="005A5368">
              <w:t xml:space="preserve"> studies and processes.</w:t>
            </w:r>
          </w:p>
        </w:tc>
      </w:tr>
      <w:tr w:rsidR="00C9766A" w14:paraId="1BDD01E5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54215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D84D49A" w14:textId="76CD22FE" w:rsidR="001C6C4E" w:rsidRPr="00FB509B" w:rsidRDefault="00484E0A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14:paraId="54B22BE7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9E820A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3EF76ED" w14:textId="77777777"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</w:tbl>
    <w:p w14:paraId="524B1389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180DBE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947B6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6780C4AB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5205C437" w14:textId="77777777"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>TAC ENDORSEMENT</w:t>
      </w:r>
    </w:p>
    <w:p w14:paraId="424541A1" w14:textId="77777777"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75F39A8C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36AB" w:rsidRPr="00073E79">
        <w:rPr>
          <w:rFonts w:ascii="Arial" w:hAnsi="Arial" w:cs="Arial"/>
          <w:i/>
          <w:sz w:val="22"/>
          <w:szCs w:val="22"/>
        </w:rPr>
        <w:t>endorsed by tac</w:t>
      </w:r>
    </w:p>
    <w:p w14:paraId="1D7CDDA1" w14:textId="77777777"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5A4F2B33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2A3928D5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6DE03D08" w14:textId="798EEFF3" w:rsidR="004A490A" w:rsidRPr="005A5368" w:rsidRDefault="005A5368" w:rsidP="005A5368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The existing processes that are currently in place for other short-lead time Resources will also be applied to Energy Storage Resources (ESRs).  In the near-term, system change</w:t>
      </w:r>
      <w:r w:rsidR="00495A65">
        <w:rPr>
          <w:rFonts w:cs="Arial"/>
          <w:iCs/>
          <w:color w:val="auto"/>
        </w:rPr>
        <w:t>s</w:t>
      </w:r>
      <w:r>
        <w:rPr>
          <w:rFonts w:cs="Arial"/>
          <w:iCs/>
          <w:color w:val="auto"/>
        </w:rPr>
        <w:t xml:space="preserve"> will not be made to </w:t>
      </w:r>
      <w:r w:rsidR="00F8468A">
        <w:rPr>
          <w:rFonts w:cs="Arial"/>
          <w:iCs/>
          <w:color w:val="auto"/>
        </w:rPr>
        <w:t xml:space="preserve">the </w:t>
      </w:r>
      <w:r>
        <w:rPr>
          <w:rFonts w:cs="Arial"/>
          <w:iCs/>
          <w:color w:val="auto"/>
        </w:rPr>
        <w:t xml:space="preserve">RUC engine.  However, because of the very </w:t>
      </w:r>
      <w:r w:rsidR="00F8468A">
        <w:rPr>
          <w:rFonts w:cs="Arial"/>
          <w:iCs/>
          <w:color w:val="auto"/>
        </w:rPr>
        <w:t>short lead</w:t>
      </w:r>
      <w:r w:rsidR="00495A65">
        <w:rPr>
          <w:rFonts w:cs="Arial"/>
          <w:iCs/>
          <w:color w:val="auto"/>
        </w:rPr>
        <w:t>-</w:t>
      </w:r>
      <w:r>
        <w:rPr>
          <w:rFonts w:cs="Arial"/>
          <w:iCs/>
          <w:color w:val="auto"/>
        </w:rPr>
        <w:t>times, commitment recommendations for ESRs will be deferred in the RUC process by the ERCOT Operator.</w:t>
      </w:r>
    </w:p>
    <w:p w14:paraId="4E924AF3" w14:textId="567ADC2C" w:rsidR="005A5368" w:rsidRPr="005A5368" w:rsidRDefault="005A5368" w:rsidP="005A5368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In the near-term, the RUC engine will not be changed to consider an ESR</w:t>
      </w:r>
      <w:r w:rsidR="00F8468A">
        <w:rPr>
          <w:rFonts w:cs="Arial"/>
          <w:iCs/>
          <w:color w:val="auto"/>
        </w:rPr>
        <w:t>’</w:t>
      </w:r>
      <w:r>
        <w:rPr>
          <w:rFonts w:cs="Arial"/>
          <w:iCs/>
          <w:color w:val="auto"/>
        </w:rPr>
        <w:t xml:space="preserve">s state-of-charge.  Instead, QSEs representing ESRs will be required to reflect duration limitations for their Resources in </w:t>
      </w:r>
      <w:r w:rsidR="00F8468A">
        <w:rPr>
          <w:rFonts w:cs="Arial"/>
          <w:iCs/>
          <w:color w:val="auto"/>
        </w:rPr>
        <w:t>the COP</w:t>
      </w:r>
      <w:r>
        <w:rPr>
          <w:rFonts w:cs="Arial"/>
          <w:iCs/>
          <w:color w:val="auto"/>
        </w:rPr>
        <w:t xml:space="preserve"> High Sustained Limits (HSLs) for their Resources.  Applicable Business Practice Manuals will be updated, but the following high-level expectations will apply:</w:t>
      </w:r>
    </w:p>
    <w:p w14:paraId="5D522D9C" w14:textId="11398A28" w:rsidR="005A5368" w:rsidRPr="005A5368" w:rsidRDefault="00717EDD" w:rsidP="00717EDD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lastRenderedPageBreak/>
        <w:t xml:space="preserve">For </w:t>
      </w:r>
      <w:r w:rsidR="005A5368">
        <w:rPr>
          <w:rFonts w:cs="Arial"/>
          <w:color w:val="auto"/>
        </w:rPr>
        <w:t>ESR</w:t>
      </w:r>
      <w:r>
        <w:rPr>
          <w:rFonts w:cs="Arial"/>
          <w:color w:val="auto"/>
        </w:rPr>
        <w:t>s</w:t>
      </w:r>
      <w:r w:rsidR="005A5368">
        <w:rPr>
          <w:rFonts w:cs="Arial"/>
          <w:color w:val="auto"/>
        </w:rPr>
        <w:t xml:space="preserve"> providing </w:t>
      </w:r>
      <w:r w:rsidR="00495A65">
        <w:rPr>
          <w:rFonts w:cs="Arial"/>
          <w:color w:val="auto"/>
        </w:rPr>
        <w:t>Ancillary Service (</w:t>
      </w:r>
      <w:r w:rsidR="005A5368">
        <w:rPr>
          <w:rFonts w:cs="Arial"/>
          <w:color w:val="auto"/>
        </w:rPr>
        <w:t>AS</w:t>
      </w:r>
      <w:r w:rsidR="00495A65">
        <w:rPr>
          <w:rFonts w:cs="Arial"/>
          <w:color w:val="auto"/>
        </w:rPr>
        <w:t>)</w:t>
      </w:r>
      <w:r w:rsidR="005A5368">
        <w:rPr>
          <w:rFonts w:cs="Arial"/>
          <w:color w:val="auto"/>
        </w:rPr>
        <w:t>, COP HSLs must be greater than or equal to the combine</w:t>
      </w:r>
      <w:r>
        <w:rPr>
          <w:rFonts w:cs="Arial"/>
          <w:color w:val="auto"/>
        </w:rPr>
        <w:t>d</w:t>
      </w:r>
      <w:r w:rsidR="005A5368">
        <w:rPr>
          <w:rFonts w:cs="Arial"/>
          <w:color w:val="auto"/>
        </w:rPr>
        <w:t xml:space="preserve"> amount of AS being provided by the ESR.</w:t>
      </w:r>
    </w:p>
    <w:p w14:paraId="34AC91A4" w14:textId="77777777" w:rsidR="005A5368" w:rsidRPr="00717EDD" w:rsidRDefault="00717EDD" w:rsidP="00717EDD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For ESRs that have additional energy that is not reserved for AS and is expected to be available for economic dispatch in Real-Time, the incremental HSL values above the combined amount of AS responsibility are expected to reflect duration limitations of the ESR.</w:t>
      </w:r>
    </w:p>
    <w:p w14:paraId="5B5BFD7E" w14:textId="77777777" w:rsidR="00717EDD" w:rsidRPr="00073E79" w:rsidRDefault="00717EDD" w:rsidP="00717EDD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For ESRs not providing AS, the full HSL values are expected to reflect duration limitations of the ESR.</w:t>
      </w:r>
    </w:p>
    <w:p w14:paraId="7318BE76" w14:textId="6E9B5EDB" w:rsidR="00717EDD" w:rsidRPr="00717EDD" w:rsidRDefault="00717EDD" w:rsidP="00717EDD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</w:rPr>
      </w:pPr>
      <w:r w:rsidRPr="00717EDD">
        <w:rPr>
          <w:rFonts w:cs="Arial"/>
          <w:color w:val="auto"/>
        </w:rPr>
        <w:t>In the longer term, the RUC engine will be enhanced to recognize ESRs and consider state-of-charge when determining projected dispatch for the RUC study period.</w:t>
      </w:r>
    </w:p>
    <w:p w14:paraId="174FA018" w14:textId="77777777" w:rsidR="00BE67D9" w:rsidRPr="00073E79" w:rsidRDefault="00BE67D9" w:rsidP="00957573">
      <w:pPr>
        <w:ind w:left="360" w:hanging="360"/>
        <w:rPr>
          <w:rFonts w:ascii="Arial" w:hAnsi="Arial" w:cs="Arial"/>
          <w:u w:val="single"/>
        </w:rPr>
      </w:pPr>
    </w:p>
    <w:p w14:paraId="64BD697F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5185107E" w14:textId="3A8020B3" w:rsidR="00BE67D9" w:rsidRDefault="005A5368" w:rsidP="005A5368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A5368">
        <w:rPr>
          <w:rFonts w:cs="Arial"/>
          <w:iCs/>
          <w:color w:val="auto"/>
        </w:rPr>
        <w:t xml:space="preserve">Define "Storage Peak Average Capacity Percentage" to be used in </w:t>
      </w:r>
      <w:r w:rsidR="00FE7EE7">
        <w:rPr>
          <w:rFonts w:cs="Arial"/>
          <w:iCs/>
          <w:color w:val="auto"/>
        </w:rPr>
        <w:t>the report on Capacity, Demand and Reserves (</w:t>
      </w:r>
      <w:r w:rsidRPr="005A5368">
        <w:rPr>
          <w:rFonts w:cs="Arial"/>
          <w:iCs/>
          <w:color w:val="auto"/>
        </w:rPr>
        <w:t>CDR</w:t>
      </w:r>
      <w:r w:rsidR="00FE7EE7">
        <w:rPr>
          <w:rFonts w:cs="Arial"/>
          <w:iCs/>
          <w:color w:val="auto"/>
        </w:rPr>
        <w:t>)</w:t>
      </w:r>
      <w:r w:rsidRPr="005A5368">
        <w:rPr>
          <w:rFonts w:cs="Arial"/>
          <w:iCs/>
          <w:color w:val="auto"/>
        </w:rPr>
        <w:t xml:space="preserve"> for various batteries.</w:t>
      </w:r>
    </w:p>
    <w:p w14:paraId="78D68611" w14:textId="77777777" w:rsidR="005A5368" w:rsidRDefault="005A5368" w:rsidP="005A5368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A5368">
        <w:rPr>
          <w:rFonts w:cs="Arial"/>
          <w:iCs/>
          <w:color w:val="auto"/>
        </w:rPr>
        <w:t>Outage Coordination Studies</w:t>
      </w:r>
    </w:p>
    <w:p w14:paraId="58E22147" w14:textId="77777777" w:rsidR="005A5368" w:rsidRDefault="005A5368" w:rsidP="005A5368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A5368">
        <w:rPr>
          <w:rFonts w:cs="Arial"/>
          <w:iCs/>
          <w:color w:val="auto"/>
        </w:rPr>
        <w:t>Operational Studies</w:t>
      </w:r>
    </w:p>
    <w:p w14:paraId="7623783B" w14:textId="77777777" w:rsidR="005A5368" w:rsidRPr="00073E79" w:rsidRDefault="005A5368" w:rsidP="005A5368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A5368">
        <w:rPr>
          <w:rFonts w:cs="Arial"/>
          <w:iCs/>
          <w:color w:val="auto"/>
        </w:rPr>
        <w:t>Transmission Planning Studies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375482EE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C86EA9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294A33B8" w14:textId="77777777" w:rsidR="004A490A" w:rsidRDefault="004A490A" w:rsidP="0050618E">
            <w:pPr>
              <w:pStyle w:val="NormalArial"/>
            </w:pPr>
          </w:p>
          <w:p w14:paraId="1EAEEA05" w14:textId="77777777" w:rsidR="004A490A" w:rsidRDefault="004A490A" w:rsidP="00383B4E">
            <w:pPr>
              <w:pStyle w:val="NormalArial"/>
            </w:pPr>
          </w:p>
        </w:tc>
      </w:tr>
      <w:tr w:rsidR="004A490A" w14:paraId="6F8822F7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402FB862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01C14BDE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54B25B16" w14:textId="77777777"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76B2E" w14:textId="77777777" w:rsidR="004F4723" w:rsidRDefault="004F4723">
      <w:r>
        <w:separator/>
      </w:r>
    </w:p>
  </w:endnote>
  <w:endnote w:type="continuationSeparator" w:id="0">
    <w:p w14:paraId="33635E69" w14:textId="77777777" w:rsidR="004F4723" w:rsidRDefault="004F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5B19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EF1A" w14:textId="29CC8517"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5858B5">
      <w:rPr>
        <w:rFonts w:ascii="Arial" w:hAnsi="Arial" w:cs="Arial"/>
        <w:sz w:val="18"/>
      </w:rPr>
      <w:t>ey Topic/Concept (KTC) 1</w:t>
    </w:r>
    <w:r w:rsidR="00484E0A">
      <w:rPr>
        <w:rFonts w:ascii="Arial" w:hAnsi="Arial" w:cs="Arial"/>
        <w:sz w:val="18"/>
      </w:rPr>
      <w:t>0.0 (Posted 10-22-119)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4E0E7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4E0E7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315272AB" w14:textId="77777777"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A0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D8B89" w14:textId="77777777" w:rsidR="004F4723" w:rsidRDefault="004F4723">
      <w:r>
        <w:separator/>
      </w:r>
    </w:p>
  </w:footnote>
  <w:footnote w:type="continuationSeparator" w:id="0">
    <w:p w14:paraId="5E579EC2" w14:textId="77777777" w:rsidR="004F4723" w:rsidRDefault="004F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41A2" w14:textId="77777777" w:rsidR="00573610" w:rsidRDefault="00573610" w:rsidP="0088730E">
    <w:pPr>
      <w:pStyle w:val="Header"/>
      <w:jc w:val="center"/>
      <w:rPr>
        <w:sz w:val="32"/>
      </w:rPr>
    </w:pPr>
    <w:r>
      <w:rPr>
        <w:sz w:val="32"/>
      </w:rPr>
      <w:t xml:space="preserve">Battery Energy Storage </w:t>
    </w:r>
    <w:r w:rsidR="005858B5">
      <w:rPr>
        <w:sz w:val="32"/>
      </w:rPr>
      <w:t>Key</w:t>
    </w:r>
    <w:r w:rsidR="0045690E">
      <w:rPr>
        <w:sz w:val="32"/>
      </w:rPr>
      <w:t xml:space="preserve"> </w:t>
    </w:r>
    <w:r>
      <w:rPr>
        <w:sz w:val="32"/>
      </w:rPr>
      <w:t xml:space="preserve">Topic/Concept </w:t>
    </w:r>
    <w:r w:rsidR="00F235C3">
      <w:rPr>
        <w:sz w:val="32"/>
      </w:rPr>
      <w:t>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60A5A"/>
    <w:rsid w:val="000629A5"/>
    <w:rsid w:val="00064B44"/>
    <w:rsid w:val="00067219"/>
    <w:rsid w:val="00067FE2"/>
    <w:rsid w:val="00073E79"/>
    <w:rsid w:val="0007682E"/>
    <w:rsid w:val="000849FF"/>
    <w:rsid w:val="000B691A"/>
    <w:rsid w:val="000D1AEB"/>
    <w:rsid w:val="000D3E64"/>
    <w:rsid w:val="000F13C5"/>
    <w:rsid w:val="000F3BC2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7430"/>
    <w:rsid w:val="00257886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60920"/>
    <w:rsid w:val="00363D6D"/>
    <w:rsid w:val="003742F5"/>
    <w:rsid w:val="00383B4E"/>
    <w:rsid w:val="00384709"/>
    <w:rsid w:val="00386C35"/>
    <w:rsid w:val="003A3BD3"/>
    <w:rsid w:val="003A3D77"/>
    <w:rsid w:val="003B4E19"/>
    <w:rsid w:val="003B5AED"/>
    <w:rsid w:val="003C6B7B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84E0A"/>
    <w:rsid w:val="00491364"/>
    <w:rsid w:val="0049290B"/>
    <w:rsid w:val="00495006"/>
    <w:rsid w:val="00495A65"/>
    <w:rsid w:val="004A4451"/>
    <w:rsid w:val="004A490A"/>
    <w:rsid w:val="004D3958"/>
    <w:rsid w:val="004E0E7D"/>
    <w:rsid w:val="004F4723"/>
    <w:rsid w:val="005008DF"/>
    <w:rsid w:val="005045D0"/>
    <w:rsid w:val="0050618E"/>
    <w:rsid w:val="0051245F"/>
    <w:rsid w:val="0052049A"/>
    <w:rsid w:val="00521342"/>
    <w:rsid w:val="00534C6C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85CC4"/>
    <w:rsid w:val="006A0784"/>
    <w:rsid w:val="006A697B"/>
    <w:rsid w:val="006A7BA3"/>
    <w:rsid w:val="006B4DDE"/>
    <w:rsid w:val="006C3F68"/>
    <w:rsid w:val="006E37BE"/>
    <w:rsid w:val="00700035"/>
    <w:rsid w:val="00717EDD"/>
    <w:rsid w:val="007367E2"/>
    <w:rsid w:val="00743968"/>
    <w:rsid w:val="00782371"/>
    <w:rsid w:val="00785415"/>
    <w:rsid w:val="00791CB9"/>
    <w:rsid w:val="00793130"/>
    <w:rsid w:val="00794B59"/>
    <w:rsid w:val="007B3233"/>
    <w:rsid w:val="007B5A42"/>
    <w:rsid w:val="007C199B"/>
    <w:rsid w:val="007C2764"/>
    <w:rsid w:val="007D3073"/>
    <w:rsid w:val="007D64B9"/>
    <w:rsid w:val="007D72D4"/>
    <w:rsid w:val="007E0452"/>
    <w:rsid w:val="008070C0"/>
    <w:rsid w:val="00811C12"/>
    <w:rsid w:val="00831EF8"/>
    <w:rsid w:val="00842BDB"/>
    <w:rsid w:val="00845778"/>
    <w:rsid w:val="008513F0"/>
    <w:rsid w:val="00871F26"/>
    <w:rsid w:val="00884B6C"/>
    <w:rsid w:val="00885C9D"/>
    <w:rsid w:val="0088730E"/>
    <w:rsid w:val="00887E28"/>
    <w:rsid w:val="008A11D0"/>
    <w:rsid w:val="008A167A"/>
    <w:rsid w:val="008D5C3A"/>
    <w:rsid w:val="008D7B10"/>
    <w:rsid w:val="008E21EE"/>
    <w:rsid w:val="008E5AE0"/>
    <w:rsid w:val="008E6CCE"/>
    <w:rsid w:val="008E6DA2"/>
    <w:rsid w:val="008F727F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D17F0"/>
    <w:rsid w:val="009E5B33"/>
    <w:rsid w:val="00A42796"/>
    <w:rsid w:val="00A4474E"/>
    <w:rsid w:val="00A5311D"/>
    <w:rsid w:val="00A84487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67D9"/>
    <w:rsid w:val="00C007C2"/>
    <w:rsid w:val="00C01552"/>
    <w:rsid w:val="00C15631"/>
    <w:rsid w:val="00C33F35"/>
    <w:rsid w:val="00C61D99"/>
    <w:rsid w:val="00C744EB"/>
    <w:rsid w:val="00C90702"/>
    <w:rsid w:val="00C917FF"/>
    <w:rsid w:val="00C9766A"/>
    <w:rsid w:val="00CB7596"/>
    <w:rsid w:val="00CC2B31"/>
    <w:rsid w:val="00CC4F39"/>
    <w:rsid w:val="00CC6AD1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3496"/>
    <w:rsid w:val="00E66906"/>
    <w:rsid w:val="00E71C39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8468A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E7EE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0ED0C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C092B-90D5-4BE8-9420-62A50777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Ragsdale, Kenneth</dc:creator>
  <cp:keywords/>
  <cp:lastModifiedBy>Ragsdale, Kenneth</cp:lastModifiedBy>
  <cp:revision>3</cp:revision>
  <cp:lastPrinted>2013-11-15T21:11:00Z</cp:lastPrinted>
  <dcterms:created xsi:type="dcterms:W3CDTF">2019-10-22T18:09:00Z</dcterms:created>
  <dcterms:modified xsi:type="dcterms:W3CDTF">2019-10-22T18:17:00Z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