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53" w:rsidRPr="00E2657B" w:rsidRDefault="002F5F53" w:rsidP="002F5F53">
      <w:pPr>
        <w:jc w:val="center"/>
        <w:rPr>
          <w:b/>
          <w:bCs/>
          <w:color w:val="0070C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ktdra9vpvlax" w:colFirst="0" w:colLast="0"/>
      <w:bookmarkEnd w:id="0"/>
      <w:r w:rsidRPr="00E2657B">
        <w:rPr>
          <w:b/>
          <w:bCs/>
          <w:color w:val="0070C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MSWG Meeting Notes</w:t>
      </w:r>
    </w:p>
    <w:p w:rsidR="002F5F53" w:rsidRDefault="002F5F53" w:rsidP="002F5F53">
      <w:pPr>
        <w:spacing w:before="120"/>
        <w:jc w:val="center"/>
        <w:rPr>
          <w:rStyle w:val="Strong"/>
          <w:color w:val="000000"/>
          <w:sz w:val="21"/>
          <w:szCs w:val="21"/>
          <w:shd w:val="clear" w:color="auto" w:fill="FFFFFF"/>
        </w:rPr>
      </w:pPr>
      <w:r>
        <w:rPr>
          <w:rStyle w:val="Strong"/>
          <w:color w:val="000000"/>
          <w:sz w:val="21"/>
          <w:szCs w:val="21"/>
          <w:shd w:val="clear" w:color="auto" w:fill="FFFFFF"/>
        </w:rPr>
        <w:t xml:space="preserve">Meeting Date: </w:t>
      </w:r>
      <w:r>
        <w:rPr>
          <w:rStyle w:val="Strong"/>
          <w:color w:val="000000"/>
          <w:sz w:val="21"/>
          <w:szCs w:val="21"/>
          <w:shd w:val="clear" w:color="auto" w:fill="FFFFFF"/>
        </w:rPr>
        <w:t>September 24</w:t>
      </w:r>
      <w:r>
        <w:rPr>
          <w:rStyle w:val="Strong"/>
          <w:color w:val="000000"/>
          <w:sz w:val="21"/>
          <w:szCs w:val="21"/>
          <w:shd w:val="clear" w:color="auto" w:fill="FFFFFF"/>
        </w:rPr>
        <w:t>, 2019</w:t>
      </w:r>
    </w:p>
    <w:p w:rsidR="002F5F53" w:rsidRDefault="002F5F53" w:rsidP="002F5F53">
      <w:pPr>
        <w:spacing w:before="120"/>
        <w:jc w:val="center"/>
        <w:rPr>
          <w:rStyle w:val="Strong"/>
          <w:color w:val="000000"/>
          <w:sz w:val="21"/>
          <w:szCs w:val="21"/>
          <w:shd w:val="clear" w:color="auto" w:fill="FFFFFF"/>
        </w:rPr>
      </w:pPr>
    </w:p>
    <w:p w:rsidR="002F5F53" w:rsidRDefault="002F5F53" w:rsidP="002F5F53">
      <w:pPr>
        <w:spacing w:before="120"/>
        <w:jc w:val="center"/>
        <w:rPr>
          <w:rStyle w:val="Strong"/>
          <w:color w:val="000000"/>
          <w:sz w:val="21"/>
          <w:szCs w:val="21"/>
          <w:shd w:val="clear" w:color="auto" w:fill="FFFFFF"/>
        </w:rPr>
      </w:pPr>
    </w:p>
    <w:p w:rsidR="002F5F53" w:rsidRPr="00111A03" w:rsidRDefault="002F5F53" w:rsidP="002F5F53">
      <w:pPr>
        <w:shd w:val="clear" w:color="auto" w:fill="FFFFFF"/>
        <w:spacing w:line="240" w:lineRule="auto"/>
        <w:outlineLvl w:val="4"/>
        <w:rPr>
          <w:rFonts w:eastAsia="Times New Roman"/>
          <w:b/>
          <w:bCs/>
          <w:color w:val="5B6770"/>
          <w:sz w:val="21"/>
          <w:szCs w:val="21"/>
        </w:rPr>
      </w:pPr>
      <w:r w:rsidRPr="00111A03">
        <w:rPr>
          <w:rFonts w:eastAsia="Times New Roman"/>
          <w:b/>
          <w:bCs/>
          <w:color w:val="5B6770"/>
          <w:sz w:val="21"/>
          <w:szCs w:val="21"/>
        </w:rPr>
        <w:t>Agenda</w:t>
      </w:r>
    </w:p>
    <w:tbl>
      <w:tblPr>
        <w:tblW w:w="98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15"/>
      </w:tblGrid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Antitrust Admonition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Agenda Review and Roll Call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July meeting notes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NPRR947 Clarification to Ancillary Service Supply Responsibility Definition and Improvements to Determining and Charging for Ancillary Service Failed Quantities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0" w:type="dxa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2F5F53" w:rsidRPr="00C176BC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WMWG 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C176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At the 7/22 WMWG meeting, ERCOT requested to table NPRR947 to solve an issue with how failed quantities are settled with the current language.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C176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 current language provides an opportunity for a QSE to go “short” on its Ancillary Service Responsibility to capture the positive difference between the online ORDC+ Reliability price adders and DAM/SASM prices via the Ancillary Service Imbalance Payment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 To remedy this issue, ERCOT recommended using the max of MCPC by market and Average RTRSVPOR and RTRDP for the hour for the charge of Failed Quantity.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0" w:type="dxa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2F5F53" w:rsidRPr="00BE2C7C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RTASRESP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Since ORDC was implemented, determinants such as RTASRESP, RTCST30HSL, and RTOFFNSHSL have lacked visibility at the Resource level.  Shadow with telemetry is possible except for RTASRESP.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0" w:type="dxa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2F5F53" w:rsidRPr="002A3AE4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RTASIAMT - Shadow example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For the shadow example provided, ERCOT confirmed that RTASRESP should be 8MW.  That is, DAM award (10MW) minus Failed Quantity (2MW).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0" w:type="dxa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2F5F53" w:rsidRPr="001913BB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Data Access and Transparency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ERCOT to check the availability of RTASRESP by AS type in MMS and if the data can be passed through CSI to Settlements.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0" w:type="dxa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2F5F53" w:rsidRPr="00976CCD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Draft NPRR language?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MSWG to decide if it will file comments to request the visibility of RTASRESP by AS type.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F5F53" w:rsidRPr="006B629B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of New NPRRs for Settlement Impacts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High level intro. No detailed discussion.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0" w:type="dxa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NPRR963 Creation of Generation and Controllable Load Resource Group (GCLR Group)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0" w:type="dxa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2F5F53" w:rsidRPr="006B629B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NPRR957 RTF-4 Create Definition and Terms for Energy Storage and VCMRR025 (removes Energy Storage Resource definition and revises MOC to align with NP4.4.9.4.</w:t>
            </w:r>
            <w:proofErr w:type="gramStart"/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Settlement impact.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0" w:type="dxa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NPRR967 Allow Limited Duration Resource Energy Offer Curve Updates Near Real-Time and Remove the 10 MW Limit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0" w:type="dxa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NPRR970 Reliability Unit Commitment (RUC) Fuel Dispute Process Clarification and VCMRR026 (deletion of Appendix 8)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Other Business</w:t>
            </w:r>
          </w:p>
        </w:tc>
      </w:tr>
      <w:tr w:rsidR="002F5F53" w:rsidRPr="00111A03" w:rsidTr="00074CEC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27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2F5F53" w:rsidRPr="00111A03" w:rsidRDefault="002F5F53" w:rsidP="00074CEC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03">
              <w:rPr>
                <w:rFonts w:ascii="Times New Roman" w:eastAsia="Times New Roman" w:hAnsi="Times New Roman" w:cs="Times New Roman"/>
                <w:sz w:val="24"/>
                <w:szCs w:val="24"/>
              </w:rPr>
              <w:t>Adjourn</w:t>
            </w:r>
          </w:p>
        </w:tc>
      </w:tr>
    </w:tbl>
    <w:p w:rsidR="002F5F53" w:rsidRDefault="002F5F53"/>
    <w:p w:rsidR="002F5F53" w:rsidRDefault="002F5F53" w:rsidP="002F5F53">
      <w:pPr>
        <w:pBdr>
          <w:bottom w:val="single" w:sz="6" w:space="1" w:color="auto"/>
        </w:pBdr>
      </w:pPr>
    </w:p>
    <w:p w:rsidR="002F5F53" w:rsidRPr="00911632" w:rsidRDefault="002F5F53" w:rsidP="002F5F53">
      <w:pPr>
        <w:rPr>
          <w:color w:val="0070C0"/>
        </w:rPr>
      </w:pPr>
      <w:r w:rsidRPr="00911632">
        <w:rPr>
          <w:color w:val="0070C0"/>
        </w:rPr>
        <w:t>Disclaimer:</w:t>
      </w:r>
    </w:p>
    <w:p w:rsidR="002F5F53" w:rsidRPr="00911632" w:rsidRDefault="002F5F53" w:rsidP="002F5F53">
      <w:pPr>
        <w:rPr>
          <w:color w:val="0070C0"/>
        </w:rPr>
      </w:pPr>
      <w:r w:rsidRPr="00911632">
        <w:rPr>
          <w:color w:val="0070C0"/>
        </w:rPr>
        <w:t xml:space="preserve">The notes provided above are for information only.  All citations must be limited in scope. </w:t>
      </w:r>
    </w:p>
    <w:p w:rsidR="002F5F53" w:rsidRDefault="002F5F53">
      <w:bookmarkStart w:id="1" w:name="_GoBack"/>
      <w:bookmarkEnd w:id="1"/>
    </w:p>
    <w:sectPr w:rsidR="002F5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3"/>
    <w:rsid w:val="002F5F53"/>
    <w:rsid w:val="00EA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7943"/>
  <w15:chartTrackingRefBased/>
  <w15:docId w15:val="{A3FFB796-1FFE-4CA2-8B32-5755212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F5F53"/>
    <w:pPr>
      <w:spacing w:after="0" w:line="276" w:lineRule="auto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5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Shuye</dc:creator>
  <cp:keywords/>
  <dc:description/>
  <cp:lastModifiedBy>Teng, Shuye</cp:lastModifiedBy>
  <cp:revision>1</cp:revision>
  <dcterms:created xsi:type="dcterms:W3CDTF">2019-10-14T17:03:00Z</dcterms:created>
  <dcterms:modified xsi:type="dcterms:W3CDTF">2019-10-14T17:05:00Z</dcterms:modified>
</cp:coreProperties>
</file>