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45" w:rsidRPr="00E11D45" w:rsidRDefault="00E11D45" w:rsidP="00E11D45">
      <w:pPr>
        <w:shd w:val="clear" w:color="auto" w:fill="FFFFFF"/>
        <w:spacing w:before="150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5B6770"/>
          <w:sz w:val="36"/>
          <w:szCs w:val="36"/>
        </w:rPr>
      </w:pPr>
      <w:r w:rsidRPr="00E11D45">
        <w:rPr>
          <w:rFonts w:ascii="Arial" w:eastAsia="Times New Roman" w:hAnsi="Arial" w:cs="Arial"/>
          <w:b/>
          <w:bCs/>
          <w:color w:val="5B6770"/>
          <w:sz w:val="36"/>
          <w:szCs w:val="36"/>
        </w:rPr>
        <w:t>MSWG Meeting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5095"/>
      </w:tblGrid>
      <w:tr w:rsidR="00E11D45" w:rsidRPr="00E11D45" w:rsidTr="00E11D45">
        <w:trPr>
          <w:gridAfter w:val="1"/>
          <w:tblCellSpacing w:w="0" w:type="dxa"/>
        </w:trPr>
        <w:tc>
          <w:tcPr>
            <w:tcW w:w="0" w:type="auto"/>
            <w:hideMark/>
          </w:tcPr>
          <w:p w:rsidR="00E11D45" w:rsidRPr="00E11D45" w:rsidRDefault="00E16A3E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September 24</w:t>
            </w:r>
            <w:r w:rsidR="00E11D45" w:rsidRPr="00E11D4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 2019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="00D9343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01:30pm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</w:tr>
      <w:tr w:rsidR="00E11D45" w:rsidRPr="00E11D45" w:rsidTr="00E11D45">
        <w:trPr>
          <w:tblCellSpacing w:w="0" w:type="dxa"/>
        </w:trPr>
        <w:tc>
          <w:tcPr>
            <w:tcW w:w="0" w:type="auto"/>
            <w:hideMark/>
          </w:tcPr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ERCOT Austin Room 102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7620 Metro Center Dr.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Austin, TX 78744</w:t>
            </w:r>
          </w:p>
        </w:tc>
        <w:tc>
          <w:tcPr>
            <w:tcW w:w="0" w:type="auto"/>
            <w:hideMark/>
          </w:tcPr>
          <w:p w:rsidR="00E11D45" w:rsidRPr="00E11D45" w:rsidRDefault="00662250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hyperlink r:id="rId7" w:tgtFrame="_blank" w:history="1">
              <w:r w:rsidR="00E11D45" w:rsidRPr="00E11D45">
                <w:rPr>
                  <w:rFonts w:ascii="Times New Roman" w:eastAsia="Times New Roman" w:hAnsi="Times New Roman" w:cs="Times New Roman"/>
                  <w:b/>
                  <w:bCs/>
                  <w:color w:val="0079DB"/>
                  <w:sz w:val="21"/>
                  <w:szCs w:val="21"/>
                </w:rPr>
                <w:t>WebEx Conference</w:t>
              </w:r>
            </w:hyperlink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Teleconference: 877-668-4493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Meeting number: </w:t>
            </w:r>
            <w:r w:rsidR="00E16A3E">
              <w:rPr>
                <w:rFonts w:ascii="Arial" w:eastAsia="Times New Roman" w:hAnsi="Arial" w:cs="Arial"/>
                <w:sz w:val="21"/>
                <w:szCs w:val="21"/>
              </w:rPr>
              <w:t>629 581 617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Meeting password: MSWG</w:t>
            </w:r>
          </w:p>
        </w:tc>
      </w:tr>
    </w:tbl>
    <w:p w:rsidR="00E11D45" w:rsidRPr="00E11D45" w:rsidRDefault="00662250" w:rsidP="00E11D45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E11D45" w:rsidRPr="00E11D45" w:rsidRDefault="00E11D45" w:rsidP="00E11D45">
      <w:pPr>
        <w:shd w:val="clear" w:color="auto" w:fill="FFFFFF"/>
        <w:spacing w:after="100" w:line="300" w:lineRule="atLeast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E11D45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6298"/>
        <w:gridCol w:w="1410"/>
        <w:gridCol w:w="1285"/>
      </w:tblGrid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268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Antitrust Admonition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E32476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1:30p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268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Agenda Review and Roll Call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268" w:type="dxa"/>
            <w:hideMark/>
          </w:tcPr>
          <w:p w:rsidR="00F332D2" w:rsidRPr="00E11D45" w:rsidRDefault="00912B5C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Review of July</w:t>
            </w:r>
            <w:r w:rsidR="00430CBB">
              <w:rPr>
                <w:rFonts w:ascii="Arial" w:eastAsia="Times New Roman" w:hAnsi="Arial" w:cs="Arial"/>
                <w:sz w:val="21"/>
                <w:szCs w:val="21"/>
              </w:rPr>
              <w:t xml:space="preserve"> meeting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 xml:space="preserve"> notes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S. Teng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C3D45" w:rsidRPr="00E11D45" w:rsidTr="00F332D2">
        <w:trPr>
          <w:trHeight w:val="238"/>
          <w:tblCellSpacing w:w="15" w:type="dxa"/>
        </w:trPr>
        <w:tc>
          <w:tcPr>
            <w:tcW w:w="0" w:type="auto"/>
          </w:tcPr>
          <w:p w:rsidR="002C3D45" w:rsidRPr="00E11D45" w:rsidRDefault="00BE0F9B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</w:t>
            </w:r>
            <w:r w:rsidR="002C3D45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268" w:type="dxa"/>
          </w:tcPr>
          <w:p w:rsidR="002C3D45" w:rsidRDefault="002C3D45" w:rsidP="005F2FF9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C3D45">
              <w:rPr>
                <w:rFonts w:ascii="Arial" w:eastAsia="Times New Roman" w:hAnsi="Arial" w:cs="Arial"/>
                <w:sz w:val="21"/>
                <w:szCs w:val="21"/>
              </w:rPr>
              <w:t>NPRR947 Clarification to Ancillary Service Supply Responsibility Definition an</w:t>
            </w:r>
            <w:bookmarkStart w:id="0" w:name="_GoBack"/>
            <w:bookmarkEnd w:id="0"/>
            <w:r w:rsidRPr="002C3D45">
              <w:rPr>
                <w:rFonts w:ascii="Arial" w:eastAsia="Times New Roman" w:hAnsi="Arial" w:cs="Arial"/>
                <w:sz w:val="21"/>
                <w:szCs w:val="21"/>
              </w:rPr>
              <w:t>d Improvements to Determining and Charging for Ancillary Service Failed Quantities</w:t>
            </w:r>
          </w:p>
          <w:p w:rsidR="002C3D45" w:rsidRDefault="00D93436" w:rsidP="002C3D45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WMWG discussion</w:t>
            </w:r>
          </w:p>
          <w:p w:rsidR="00BE0F9B" w:rsidRDefault="00BE0F9B" w:rsidP="002C3D45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RTASRESP</w:t>
            </w:r>
          </w:p>
          <w:p w:rsidR="00BE0F9B" w:rsidRPr="00BE0F9B" w:rsidRDefault="004611D4" w:rsidP="00BE0F9B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RTASIAMT - </w:t>
            </w:r>
            <w:r w:rsidR="00D87527">
              <w:rPr>
                <w:rFonts w:ascii="Arial" w:eastAsia="Times New Roman" w:hAnsi="Arial" w:cs="Arial"/>
                <w:sz w:val="21"/>
                <w:szCs w:val="21"/>
              </w:rPr>
              <w:t>Shadow example</w:t>
            </w:r>
          </w:p>
          <w:p w:rsidR="00D87527" w:rsidRPr="00BE0F9B" w:rsidRDefault="00EF3FF4" w:rsidP="00BE0F9B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Data Access and Transparency </w:t>
            </w:r>
          </w:p>
          <w:p w:rsidR="00EF3FF4" w:rsidRPr="002C3D45" w:rsidRDefault="00D87527" w:rsidP="002C3D45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Draft </w:t>
            </w:r>
            <w:r w:rsidR="00EF3FF4">
              <w:rPr>
                <w:rFonts w:ascii="Arial" w:eastAsia="Times New Roman" w:hAnsi="Arial" w:cs="Arial"/>
                <w:sz w:val="21"/>
                <w:szCs w:val="21"/>
              </w:rPr>
              <w:t>NPRR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language?</w:t>
            </w:r>
          </w:p>
          <w:p w:rsidR="002C3D45" w:rsidRPr="002C3D45" w:rsidRDefault="002C3D45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80" w:type="dxa"/>
          </w:tcPr>
          <w:p w:rsidR="002C3D45" w:rsidRDefault="002C3D45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2C3D45" w:rsidRDefault="00E32476" w:rsidP="00E32476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="002C3D45">
              <w:rPr>
                <w:rFonts w:ascii="Arial" w:eastAsia="Times New Roman" w:hAnsi="Arial" w:cs="Arial"/>
                <w:sz w:val="21"/>
                <w:szCs w:val="21"/>
              </w:rPr>
              <w:t>:45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p</w:t>
            </w:r>
            <w:r w:rsidR="002C3D45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</w:tr>
      <w:tr w:rsidR="00F332D2" w:rsidRPr="00E11D45" w:rsidTr="00430CBB">
        <w:trPr>
          <w:trHeight w:val="258"/>
          <w:tblCellSpacing w:w="15" w:type="dxa"/>
        </w:trPr>
        <w:tc>
          <w:tcPr>
            <w:tcW w:w="0" w:type="auto"/>
            <w:hideMark/>
          </w:tcPr>
          <w:p w:rsidR="00F332D2" w:rsidRPr="00E11D45" w:rsidRDefault="00BE0F9B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5</w:t>
            </w:r>
            <w:r w:rsidR="00F332D2" w:rsidRPr="00E11D45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268" w:type="dxa"/>
            <w:hideMark/>
          </w:tcPr>
          <w:p w:rsidR="00EF3711" w:rsidRDefault="00912B5C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Evaluation of New NPRRs for Settlement Impacts</w:t>
            </w:r>
            <w:r w:rsidR="00EF3711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:rsidR="00F332D2" w:rsidRPr="00EF3711" w:rsidRDefault="00E24960" w:rsidP="00EF3711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F3711">
              <w:rPr>
                <w:rFonts w:ascii="Arial" w:eastAsia="Times New Roman" w:hAnsi="Arial" w:cs="Arial"/>
                <w:sz w:val="21"/>
                <w:szCs w:val="21"/>
              </w:rPr>
              <w:t xml:space="preserve">NPRR963 </w:t>
            </w:r>
            <w:r w:rsidRPr="00EF3711">
              <w:rPr>
                <w:rFonts w:ascii="Arial" w:hAnsi="Arial" w:cs="Arial"/>
                <w:sz w:val="21"/>
                <w:szCs w:val="21"/>
              </w:rPr>
              <w:t>Creation of Generation and Controllable Load Resource Group (GCLR Group)</w:t>
            </w:r>
            <w:r w:rsidR="00D6576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F3711" w:rsidRDefault="00EF3711" w:rsidP="00EF3711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NPRR957 RTF-4 Create Definition and Terms for Energy Storage</w:t>
            </w:r>
            <w:r w:rsidR="00435791">
              <w:rPr>
                <w:rFonts w:ascii="Arial" w:eastAsia="Times New Roman" w:hAnsi="Arial" w:cs="Arial"/>
                <w:sz w:val="21"/>
                <w:szCs w:val="21"/>
              </w:rPr>
              <w:t xml:space="preserve"> and VCMRR025 (removes Energy Storage Resource definition and revises MOC to align with NP4.4.9.4.1</w:t>
            </w:r>
          </w:p>
          <w:p w:rsidR="00305E2B" w:rsidRPr="002604D0" w:rsidRDefault="00305E2B" w:rsidP="00EF3711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NPRR967 Allow Limited Duration Resource Energy Offer Curve Updates Near Real-Time and Remove the 10 MW Limit</w:t>
            </w:r>
          </w:p>
          <w:p w:rsidR="002604D0" w:rsidRPr="00EF3711" w:rsidRDefault="002604D0" w:rsidP="00435791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NPRR970 </w:t>
            </w:r>
            <w:r w:rsidRPr="002604D0">
              <w:rPr>
                <w:rFonts w:ascii="Arial" w:eastAsia="Times New Roman" w:hAnsi="Arial" w:cs="Arial"/>
                <w:sz w:val="21"/>
                <w:szCs w:val="21"/>
              </w:rPr>
              <w:t>Reliability Unit Commitment (RUC) Fuel Dispute Process Clarification</w:t>
            </w:r>
            <w:r w:rsidR="00435791">
              <w:rPr>
                <w:rFonts w:ascii="Arial" w:eastAsia="Times New Roman" w:hAnsi="Arial" w:cs="Arial"/>
                <w:sz w:val="21"/>
                <w:szCs w:val="21"/>
              </w:rPr>
              <w:t xml:space="preserve"> and VCMRR026 (deletion of Appendix 8)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F332D2" w:rsidRPr="00E11D45" w:rsidRDefault="00E32476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3:00p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</w:tr>
      <w:tr w:rsidR="00CA030C" w:rsidRPr="00E11D45" w:rsidTr="00474797">
        <w:trPr>
          <w:trHeight w:val="294"/>
          <w:tblCellSpacing w:w="15" w:type="dxa"/>
        </w:trPr>
        <w:tc>
          <w:tcPr>
            <w:tcW w:w="0" w:type="auto"/>
          </w:tcPr>
          <w:p w:rsidR="00CA030C" w:rsidRPr="00E11D45" w:rsidRDefault="00E32476" w:rsidP="00CA030C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</w:t>
            </w:r>
            <w:r w:rsidR="00CA030C" w:rsidRPr="00E11D45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268" w:type="dxa"/>
          </w:tcPr>
          <w:p w:rsidR="00CA030C" w:rsidRPr="00E11D45" w:rsidRDefault="00BE16F4" w:rsidP="00CA030C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Other Business</w:t>
            </w:r>
          </w:p>
        </w:tc>
        <w:tc>
          <w:tcPr>
            <w:tcW w:w="1380" w:type="dxa"/>
          </w:tcPr>
          <w:p w:rsidR="00CA030C" w:rsidRPr="00BE16F4" w:rsidRDefault="00BE16F4" w:rsidP="00BE16F4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  <w:r w:rsidRPr="00BE16F4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40" w:type="dxa"/>
          </w:tcPr>
          <w:p w:rsidR="00CA030C" w:rsidRPr="00E11D45" w:rsidRDefault="00E32476" w:rsidP="00E32476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3:30p</w:t>
            </w:r>
            <w:r w:rsidR="00CA030C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</w:tr>
      <w:tr w:rsidR="00CA030C" w:rsidRPr="00E11D45" w:rsidTr="00474797">
        <w:trPr>
          <w:trHeight w:val="294"/>
          <w:tblCellSpacing w:w="15" w:type="dxa"/>
        </w:trPr>
        <w:tc>
          <w:tcPr>
            <w:tcW w:w="0" w:type="auto"/>
          </w:tcPr>
          <w:p w:rsidR="00CA030C" w:rsidRPr="00E11D45" w:rsidRDefault="00E32476" w:rsidP="00CA030C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</w:t>
            </w:r>
            <w:r w:rsidR="00CA030C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268" w:type="dxa"/>
          </w:tcPr>
          <w:p w:rsidR="00CA030C" w:rsidRPr="00E11D45" w:rsidRDefault="00BE16F4" w:rsidP="00CA030C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Adjorn</w:t>
            </w:r>
            <w:proofErr w:type="spellEnd"/>
          </w:p>
        </w:tc>
        <w:tc>
          <w:tcPr>
            <w:tcW w:w="1380" w:type="dxa"/>
          </w:tcPr>
          <w:p w:rsidR="00CA030C" w:rsidRPr="00E11D45" w:rsidRDefault="00CA030C" w:rsidP="00CA030C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CA030C" w:rsidRDefault="00CA030C" w:rsidP="00CA030C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54F5F" w:rsidRDefault="00E54F5F" w:rsidP="00E11D45"/>
    <w:p w:rsidR="00474797" w:rsidRDefault="00474797" w:rsidP="00E11D45"/>
    <w:p w:rsidR="00474797" w:rsidRDefault="00474797" w:rsidP="00E11D45"/>
    <w:p w:rsidR="00474797" w:rsidRDefault="00474797" w:rsidP="00E11D45"/>
    <w:p w:rsidR="00A963EF" w:rsidRDefault="00A963EF" w:rsidP="00E11D45"/>
    <w:p w:rsidR="00A963EF" w:rsidRDefault="00A963EF" w:rsidP="00E11D45"/>
    <w:p w:rsidR="00A963EF" w:rsidRDefault="00A963EF" w:rsidP="00E11D45"/>
    <w:p w:rsidR="00A963EF" w:rsidRDefault="00A963EF" w:rsidP="00E11D45"/>
    <w:p w:rsidR="00A963EF" w:rsidRDefault="00A963EF" w:rsidP="00E11D45"/>
    <w:p w:rsidR="00474797" w:rsidRDefault="00474797" w:rsidP="00E11D45"/>
    <w:tbl>
      <w:tblPr>
        <w:tblpPr w:leftFromText="180" w:rightFromText="180" w:vertAnchor="text" w:tblpX="-198" w:tblpY="1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633"/>
        <w:gridCol w:w="2507"/>
        <w:gridCol w:w="1350"/>
      </w:tblGrid>
      <w:tr w:rsidR="00A963EF" w:rsidRPr="002E46B3" w:rsidTr="005E21AE">
        <w:trPr>
          <w:cantSplit/>
          <w:trHeight w:val="440"/>
          <w:tblHeader/>
        </w:trPr>
        <w:tc>
          <w:tcPr>
            <w:tcW w:w="439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>Open Action Items</w:t>
            </w:r>
          </w:p>
        </w:tc>
        <w:tc>
          <w:tcPr>
            <w:tcW w:w="1633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 xml:space="preserve">Responsible </w:t>
            </w:r>
          </w:p>
        </w:tc>
        <w:tc>
          <w:tcPr>
            <w:tcW w:w="2507" w:type="dxa"/>
            <w:shd w:val="clear" w:color="auto" w:fill="D9D9D9"/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>Notes</w:t>
            </w:r>
          </w:p>
        </w:tc>
        <w:tc>
          <w:tcPr>
            <w:tcW w:w="1350" w:type="dxa"/>
            <w:shd w:val="clear" w:color="auto" w:fill="D9D9D9"/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 xml:space="preserve">Assigned </w:t>
            </w:r>
          </w:p>
        </w:tc>
      </w:tr>
      <w:tr w:rsidR="00A963EF" w:rsidRPr="00DE520B" w:rsidTr="005E21AE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DE520B" w:rsidRDefault="00A963EF" w:rsidP="00722968">
            <w:r w:rsidRPr="00DE520B">
              <w:t>Consider pros/cons of increasing Congestion Revenue Right (CRR) account and review drivers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DE520B" w:rsidRDefault="00A963EF" w:rsidP="00722968">
            <w:r w:rsidRPr="00DE520B">
              <w:t>CMWG/</w:t>
            </w:r>
          </w:p>
          <w:p w:rsidR="00A963EF" w:rsidRPr="00DE520B" w:rsidRDefault="00A963EF" w:rsidP="00722968">
            <w:r w:rsidRPr="00DE520B">
              <w:t>MSWG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DE520B" w:rsidRDefault="00A963EF" w:rsidP="0072296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DE520B" w:rsidRDefault="00A963EF" w:rsidP="00722968">
            <w:r w:rsidRPr="00DE520B">
              <w:t>08/08/2018</w:t>
            </w:r>
          </w:p>
        </w:tc>
      </w:tr>
      <w:tr w:rsidR="00A963EF" w:rsidRPr="00B76AFA" w:rsidTr="005E21AE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B76AFA" w:rsidRDefault="00A963EF" w:rsidP="00722968">
            <w:pPr>
              <w:rPr>
                <w:highlight w:val="yellow"/>
              </w:rPr>
            </w:pPr>
            <w:r w:rsidRPr="00B76AFA">
              <w:rPr>
                <w:highlight w:val="yellow"/>
              </w:rPr>
              <w:t xml:space="preserve">Review the auction design for CRR default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B76AFA" w:rsidRDefault="00A963EF" w:rsidP="00722968">
            <w:pPr>
              <w:rPr>
                <w:highlight w:val="yellow"/>
              </w:rPr>
            </w:pPr>
            <w:r w:rsidRPr="00B76AFA">
              <w:rPr>
                <w:highlight w:val="yellow"/>
              </w:rPr>
              <w:t xml:space="preserve">CMWG/ </w:t>
            </w:r>
          </w:p>
          <w:p w:rsidR="00A963EF" w:rsidRPr="00B76AFA" w:rsidRDefault="00A963EF" w:rsidP="00722968">
            <w:pPr>
              <w:rPr>
                <w:highlight w:val="yellow"/>
              </w:rPr>
            </w:pPr>
            <w:r w:rsidRPr="00B76AFA">
              <w:rPr>
                <w:highlight w:val="yellow"/>
              </w:rPr>
              <w:t>MSWG</w:t>
            </w:r>
          </w:p>
          <w:p w:rsidR="00A963EF" w:rsidRPr="00B76AFA" w:rsidRDefault="00A963EF" w:rsidP="00722968">
            <w:pPr>
              <w:rPr>
                <w:highlight w:val="yellow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B76AFA" w:rsidRDefault="005E21AE" w:rsidP="00722968">
            <w:pPr>
              <w:rPr>
                <w:highlight w:val="yellow"/>
              </w:rPr>
            </w:pPr>
            <w:r>
              <w:rPr>
                <w:highlight w:val="yellow"/>
              </w:rPr>
              <w:t>begin after CM</w:t>
            </w:r>
            <w:r w:rsidR="00A963EF" w:rsidRPr="00B76AFA">
              <w:rPr>
                <w:highlight w:val="yellow"/>
              </w:rPr>
              <w:t>WG reviews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B76AFA" w:rsidRDefault="00A963EF" w:rsidP="00722968">
            <w:pPr>
              <w:rPr>
                <w:highlight w:val="yellow"/>
              </w:rPr>
            </w:pPr>
            <w:r w:rsidRPr="00B76AFA">
              <w:rPr>
                <w:highlight w:val="yellow"/>
              </w:rPr>
              <w:t>04/03/2019 02/06/2019</w:t>
            </w:r>
          </w:p>
        </w:tc>
      </w:tr>
      <w:tr w:rsidR="00A963EF" w:rsidRPr="009A534E" w:rsidTr="005E21AE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9A534E" w:rsidRDefault="00A963EF" w:rsidP="00722968">
            <w:r w:rsidRPr="00741B25">
              <w:t>Pursue Settlement that align balancing account settlement to CARD in RR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9A534E" w:rsidRDefault="00A963EF" w:rsidP="00722968">
            <w:r>
              <w:t>MSWG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9A534E" w:rsidRDefault="00A963EF" w:rsidP="0072296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9A534E" w:rsidRDefault="00A963EF" w:rsidP="00722968">
            <w:r>
              <w:t>07/11/18</w:t>
            </w:r>
          </w:p>
        </w:tc>
      </w:tr>
      <w:tr w:rsidR="00A963EF" w:rsidRPr="00DE520B" w:rsidTr="005E21AE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DE520B" w:rsidRDefault="00A963EF" w:rsidP="00722968">
            <w:pPr>
              <w:rPr>
                <w:highlight w:val="yellow"/>
              </w:rPr>
            </w:pPr>
            <w:r w:rsidRPr="00DE520B">
              <w:rPr>
                <w:highlight w:val="yellow"/>
              </w:rPr>
              <w:t>CRR balancing account is possibly nearing depletion (discussed at CMWG) as a settlements function consider whether we should raise cap from 10M to something higher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DE520B" w:rsidRDefault="00A963EF" w:rsidP="00722968">
            <w:pPr>
              <w:rPr>
                <w:highlight w:val="yellow"/>
              </w:rPr>
            </w:pPr>
            <w:r w:rsidRPr="00DE520B">
              <w:rPr>
                <w:highlight w:val="yellow"/>
              </w:rPr>
              <w:t>MSWG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DE520B" w:rsidRDefault="00A963EF" w:rsidP="00722968">
            <w:pPr>
              <w:rPr>
                <w:highlight w:val="yellow"/>
              </w:rPr>
            </w:pPr>
            <w:r w:rsidRPr="00DE520B">
              <w:rPr>
                <w:highlight w:val="yellow"/>
              </w:rPr>
              <w:t xml:space="preserve">** could this item be combined with 08/08/18 Assignment to CMWG/MSWG – </w:t>
            </w:r>
          </w:p>
          <w:p w:rsidR="00A963EF" w:rsidRPr="00DE520B" w:rsidRDefault="00A963EF" w:rsidP="00722968">
            <w:pPr>
              <w:rPr>
                <w:highlight w:val="yellow"/>
              </w:rPr>
            </w:pPr>
            <w:r w:rsidRPr="00DE520B">
              <w:rPr>
                <w:highlight w:val="yellow"/>
              </w:rPr>
              <w:t xml:space="preserve">Consider pros/cons of increasing Congestion Revenue Right (CRR) account and review drivers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DE520B" w:rsidRDefault="00A963EF" w:rsidP="00722968">
            <w:pPr>
              <w:rPr>
                <w:highlight w:val="yellow"/>
              </w:rPr>
            </w:pPr>
            <w:r w:rsidRPr="00DE520B">
              <w:rPr>
                <w:highlight w:val="yellow"/>
              </w:rPr>
              <w:t>07/11/18</w:t>
            </w:r>
          </w:p>
        </w:tc>
      </w:tr>
      <w:tr w:rsidR="00A963EF" w:rsidRPr="000870DF" w:rsidTr="005E21AE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870DF" w:rsidRDefault="00A963EF" w:rsidP="00722968">
            <w:pPr>
              <w:rPr>
                <w:highlight w:val="yellow"/>
              </w:rPr>
            </w:pPr>
            <w:r w:rsidRPr="000870DF">
              <w:rPr>
                <w:highlight w:val="yellow"/>
              </w:rPr>
              <w:t>Review extensive Settlement formula’s in NPRR885,  Must-Run Alternative (MRA) Details and Revisions Resulting from PUCT Project No. 46369, Rulemaking Relating to Reliability Must-Run Service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870DF" w:rsidRDefault="00A963EF" w:rsidP="00722968">
            <w:pPr>
              <w:rPr>
                <w:highlight w:val="yellow"/>
              </w:rPr>
            </w:pPr>
            <w:r w:rsidRPr="000870DF">
              <w:rPr>
                <w:highlight w:val="yellow"/>
              </w:rPr>
              <w:t>MSWG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Default="00A963EF" w:rsidP="00722968">
            <w:pPr>
              <w:rPr>
                <w:highlight w:val="yellow"/>
              </w:rPr>
            </w:pPr>
          </w:p>
          <w:p w:rsidR="00A963EF" w:rsidRPr="00133706" w:rsidRDefault="00A963EF" w:rsidP="00722968">
            <w:pPr>
              <w:rPr>
                <w:highlight w:val="yellow"/>
              </w:rPr>
            </w:pPr>
          </w:p>
          <w:p w:rsidR="00A963EF" w:rsidRPr="00133706" w:rsidRDefault="00A963EF" w:rsidP="00722968">
            <w:pPr>
              <w:rPr>
                <w:highlight w:val="yellow"/>
              </w:rPr>
            </w:pPr>
          </w:p>
          <w:p w:rsidR="00A963EF" w:rsidRDefault="00A963EF" w:rsidP="00722968">
            <w:pPr>
              <w:rPr>
                <w:highlight w:val="yellow"/>
              </w:rPr>
            </w:pPr>
          </w:p>
          <w:p w:rsidR="00A963EF" w:rsidRPr="00133706" w:rsidRDefault="00A963EF" w:rsidP="00722968">
            <w:pPr>
              <w:jc w:val="right"/>
              <w:rPr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870DF" w:rsidRDefault="00A963EF" w:rsidP="00722968">
            <w:pPr>
              <w:rPr>
                <w:highlight w:val="yellow"/>
              </w:rPr>
            </w:pPr>
            <w:r w:rsidRPr="000870DF">
              <w:rPr>
                <w:highlight w:val="yellow"/>
              </w:rPr>
              <w:t>04/03/2019</w:t>
            </w:r>
          </w:p>
          <w:p w:rsidR="00A963EF" w:rsidRPr="000870DF" w:rsidRDefault="00A963EF" w:rsidP="00722968">
            <w:pPr>
              <w:rPr>
                <w:highlight w:val="yellow"/>
              </w:rPr>
            </w:pPr>
            <w:r w:rsidRPr="000870DF">
              <w:rPr>
                <w:highlight w:val="yellow"/>
              </w:rPr>
              <w:t>07/11/18</w:t>
            </w:r>
          </w:p>
        </w:tc>
      </w:tr>
      <w:tr w:rsidR="00A963EF" w:rsidRPr="00C45DF4" w:rsidTr="005E21AE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C45DF4" w:rsidRDefault="00A963EF" w:rsidP="00722968">
            <w:r w:rsidRPr="00C45DF4">
              <w:t>Review NPRR850 and the restart mechanics and pricing impacts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C45DF4" w:rsidRDefault="00A963EF" w:rsidP="00722968">
            <w:r w:rsidRPr="00C45DF4">
              <w:t>MSWG/</w:t>
            </w:r>
          </w:p>
          <w:p w:rsidR="00A963EF" w:rsidRPr="00C45DF4" w:rsidRDefault="00A963EF" w:rsidP="00722968">
            <w:r w:rsidRPr="00C45DF4">
              <w:t>WMWG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C45DF4" w:rsidRDefault="00A963EF" w:rsidP="0072296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C45DF4" w:rsidRDefault="00A963EF" w:rsidP="00722968">
            <w:r w:rsidRPr="00C45DF4">
              <w:t>02/06/2019</w:t>
            </w:r>
          </w:p>
        </w:tc>
      </w:tr>
      <w:tr w:rsidR="00A963EF" w:rsidRPr="00C45DF4" w:rsidTr="005E21AE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C45DF4" w:rsidRDefault="00A963EF" w:rsidP="00722968">
            <w:r w:rsidRPr="00C45DF4">
              <w:lastRenderedPageBreak/>
              <w:t>Review MSWG Scope for meeting efficiencies with MWG, and MSWG provide revised scope  for supplanting Nodal Handbook with ERCOT Settlement Matrix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C45DF4" w:rsidRDefault="00A963EF" w:rsidP="00722968">
            <w:r w:rsidRPr="00C45DF4">
              <w:t>MSWG/</w:t>
            </w:r>
          </w:p>
          <w:p w:rsidR="00A963EF" w:rsidRPr="00C45DF4" w:rsidRDefault="00A963EF" w:rsidP="00722968">
            <w:r w:rsidRPr="00C45DF4">
              <w:t>MWG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C45DF4" w:rsidRDefault="008C52CB" w:rsidP="00722968">
            <w:r>
              <w:t>Complete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C45DF4" w:rsidRDefault="00A963EF" w:rsidP="00722968">
            <w:r w:rsidRPr="00C45DF4">
              <w:t>02/06/2019</w:t>
            </w:r>
          </w:p>
        </w:tc>
      </w:tr>
      <w:tr w:rsidR="00E8149D" w:rsidRPr="00C45DF4" w:rsidTr="005E21AE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E8149D" w:rsidRPr="00C45DF4" w:rsidRDefault="00E8149D" w:rsidP="00722968">
            <w:r w:rsidRPr="00AF2A25">
              <w:t>NPRR947, Clarification to Ancillary Service Supply Responsibility Definition and Improvements to Determining and Charging for Ancillary Service Failed Quantities (WMWG) (MSWG)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E8149D" w:rsidRPr="00C45DF4" w:rsidRDefault="00E8149D" w:rsidP="00722968">
            <w:r>
              <w:t>WMWG/MSWG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D" w:rsidRPr="00C45DF4" w:rsidRDefault="00E8149D" w:rsidP="0072296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D" w:rsidRPr="00C45DF4" w:rsidRDefault="00E8149D" w:rsidP="00722968">
            <w:r>
              <w:t>09/04/2019</w:t>
            </w:r>
          </w:p>
        </w:tc>
      </w:tr>
    </w:tbl>
    <w:p w:rsidR="00474797" w:rsidRPr="00E11D45" w:rsidRDefault="00474797" w:rsidP="00E11D45"/>
    <w:sectPr w:rsidR="00474797" w:rsidRPr="00E11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50" w:rsidRDefault="00662250" w:rsidP="00F332D2">
      <w:pPr>
        <w:spacing w:after="0" w:line="240" w:lineRule="auto"/>
      </w:pPr>
      <w:r>
        <w:separator/>
      </w:r>
    </w:p>
  </w:endnote>
  <w:endnote w:type="continuationSeparator" w:id="0">
    <w:p w:rsidR="00662250" w:rsidRDefault="00662250" w:rsidP="00F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50" w:rsidRDefault="00662250" w:rsidP="00F332D2">
      <w:pPr>
        <w:spacing w:after="0" w:line="240" w:lineRule="auto"/>
      </w:pPr>
      <w:r>
        <w:separator/>
      </w:r>
    </w:p>
  </w:footnote>
  <w:footnote w:type="continuationSeparator" w:id="0">
    <w:p w:rsidR="00662250" w:rsidRDefault="00662250" w:rsidP="00F3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D2" w:rsidRDefault="00662250">
    <w:pPr>
      <w:pStyle w:val="Header"/>
      <w:rPr>
        <w:i/>
      </w:rPr>
    </w:pPr>
    <w:hyperlink r:id="rId1" w:history="1">
      <w:r w:rsidR="00F332D2" w:rsidRPr="00F332D2">
        <w:rPr>
          <w:rStyle w:val="Hyperlink"/>
          <w:i/>
        </w:rPr>
        <w:t>MarketSupportServices@ercot.com</w:t>
      </w:r>
    </w:hyperlink>
    <w:r w:rsidR="00F332D2" w:rsidRPr="00F332D2">
      <w:rPr>
        <w:i/>
      </w:rPr>
      <w:t xml:space="preserve"> please post to our meeting page. </w:t>
    </w:r>
  </w:p>
  <w:p w:rsidR="00F332D2" w:rsidRPr="00F332D2" w:rsidRDefault="00F332D2">
    <w:pPr>
      <w:pStyle w:val="Header"/>
      <w:rPr>
        <w:i/>
      </w:rPr>
    </w:pPr>
    <w:r w:rsidRPr="00F332D2">
      <w:rPr>
        <w:i/>
      </w:rPr>
      <w:t>Times are best estimate to help ERCOT staff optimize their time with us.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1AD"/>
    <w:multiLevelType w:val="hybridMultilevel"/>
    <w:tmpl w:val="C882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393C"/>
    <w:multiLevelType w:val="hybridMultilevel"/>
    <w:tmpl w:val="A21A6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3C82"/>
    <w:multiLevelType w:val="hybridMultilevel"/>
    <w:tmpl w:val="B1267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648DD"/>
    <w:multiLevelType w:val="hybridMultilevel"/>
    <w:tmpl w:val="DE40E496"/>
    <w:lvl w:ilvl="0" w:tplc="41189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B4D7A"/>
    <w:multiLevelType w:val="hybridMultilevel"/>
    <w:tmpl w:val="E83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02A0F"/>
    <w:multiLevelType w:val="hybridMultilevel"/>
    <w:tmpl w:val="69AC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62654"/>
    <w:multiLevelType w:val="hybridMultilevel"/>
    <w:tmpl w:val="45289C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45"/>
    <w:rsid w:val="0001324C"/>
    <w:rsid w:val="00017AF5"/>
    <w:rsid w:val="000577E2"/>
    <w:rsid w:val="0007792F"/>
    <w:rsid w:val="000B7966"/>
    <w:rsid w:val="00157938"/>
    <w:rsid w:val="00225E3F"/>
    <w:rsid w:val="002604D0"/>
    <w:rsid w:val="0029316B"/>
    <w:rsid w:val="002C3D45"/>
    <w:rsid w:val="00305E2B"/>
    <w:rsid w:val="00430CBB"/>
    <w:rsid w:val="00435791"/>
    <w:rsid w:val="004400F8"/>
    <w:rsid w:val="004611D4"/>
    <w:rsid w:val="00474797"/>
    <w:rsid w:val="004A3E8E"/>
    <w:rsid w:val="00540A2F"/>
    <w:rsid w:val="005A791E"/>
    <w:rsid w:val="005B68BF"/>
    <w:rsid w:val="005D0E18"/>
    <w:rsid w:val="005D274F"/>
    <w:rsid w:val="005E21AE"/>
    <w:rsid w:val="005F2FF9"/>
    <w:rsid w:val="00662250"/>
    <w:rsid w:val="006934FB"/>
    <w:rsid w:val="006C1C37"/>
    <w:rsid w:val="00764BED"/>
    <w:rsid w:val="007B0362"/>
    <w:rsid w:val="007D48FD"/>
    <w:rsid w:val="007F77AB"/>
    <w:rsid w:val="00897F02"/>
    <w:rsid w:val="008C52CB"/>
    <w:rsid w:val="00912B5C"/>
    <w:rsid w:val="009B5982"/>
    <w:rsid w:val="00A17132"/>
    <w:rsid w:val="00A7031E"/>
    <w:rsid w:val="00A963EF"/>
    <w:rsid w:val="00BE0F9B"/>
    <w:rsid w:val="00BE16F4"/>
    <w:rsid w:val="00C80CE1"/>
    <w:rsid w:val="00CA030C"/>
    <w:rsid w:val="00CA24C2"/>
    <w:rsid w:val="00CF2835"/>
    <w:rsid w:val="00CF50BC"/>
    <w:rsid w:val="00D033DA"/>
    <w:rsid w:val="00D50AE2"/>
    <w:rsid w:val="00D65762"/>
    <w:rsid w:val="00D87527"/>
    <w:rsid w:val="00D93436"/>
    <w:rsid w:val="00DA6FBC"/>
    <w:rsid w:val="00DC6B44"/>
    <w:rsid w:val="00DC70EB"/>
    <w:rsid w:val="00DD28BC"/>
    <w:rsid w:val="00E11D45"/>
    <w:rsid w:val="00E16A3E"/>
    <w:rsid w:val="00E24960"/>
    <w:rsid w:val="00E31D30"/>
    <w:rsid w:val="00E32476"/>
    <w:rsid w:val="00E464B0"/>
    <w:rsid w:val="00E54F5F"/>
    <w:rsid w:val="00E8149D"/>
    <w:rsid w:val="00E81601"/>
    <w:rsid w:val="00EA481B"/>
    <w:rsid w:val="00EC506D"/>
    <w:rsid w:val="00EE7CA2"/>
    <w:rsid w:val="00EF3711"/>
    <w:rsid w:val="00EF3FF4"/>
    <w:rsid w:val="00F20494"/>
    <w:rsid w:val="00F210E5"/>
    <w:rsid w:val="00F247FE"/>
    <w:rsid w:val="00F332D2"/>
    <w:rsid w:val="00F85140"/>
    <w:rsid w:val="00F91747"/>
    <w:rsid w:val="00F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DF37F-B74A-46B1-B382-107B7FF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1D45"/>
    <w:pPr>
      <w:spacing w:before="150" w:after="100" w:afterAutospacing="1" w:line="360" w:lineRule="atLeast"/>
      <w:outlineLvl w:val="1"/>
    </w:pPr>
    <w:rPr>
      <w:rFonts w:ascii="Arial" w:eastAsia="Times New Roman" w:hAnsi="Arial" w:cs="Arial"/>
      <w:b/>
      <w:bCs/>
      <w:color w:val="5B6770"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11D45"/>
    <w:pPr>
      <w:spacing w:after="0" w:line="240" w:lineRule="auto"/>
      <w:outlineLvl w:val="4"/>
    </w:pPr>
    <w:rPr>
      <w:rFonts w:ascii="Arial" w:eastAsia="Times New Roman" w:hAnsi="Arial" w:cs="Arial"/>
      <w:b/>
      <w:bCs/>
      <w:color w:val="5B677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D45"/>
    <w:rPr>
      <w:rFonts w:ascii="Arial" w:eastAsia="Times New Roman" w:hAnsi="Arial" w:cs="Arial"/>
      <w:b/>
      <w:bCs/>
      <w:color w:val="5B677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11D45"/>
    <w:rPr>
      <w:rFonts w:ascii="Arial" w:eastAsia="Times New Roman" w:hAnsi="Arial" w:cs="Arial"/>
      <w:b/>
      <w:bCs/>
      <w:color w:val="5B677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11D45"/>
    <w:rPr>
      <w:strike w:val="0"/>
      <w:dstrike w:val="0"/>
      <w:color w:val="0079D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1D4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D45"/>
    <w:rPr>
      <w:b/>
      <w:bCs/>
    </w:rPr>
  </w:style>
  <w:style w:type="character" w:customStyle="1" w:styleId="ical2">
    <w:name w:val="ical2"/>
    <w:basedOn w:val="DefaultParagraphFont"/>
    <w:rsid w:val="00E11D45"/>
  </w:style>
  <w:style w:type="paragraph" w:styleId="Header">
    <w:name w:val="header"/>
    <w:basedOn w:val="Normal"/>
    <w:link w:val="Head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D2"/>
  </w:style>
  <w:style w:type="paragraph" w:styleId="Footer">
    <w:name w:val="footer"/>
    <w:basedOn w:val="Normal"/>
    <w:link w:val="Foot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D2"/>
  </w:style>
  <w:style w:type="paragraph" w:styleId="ListParagraph">
    <w:name w:val="List Paragraph"/>
    <w:basedOn w:val="Normal"/>
    <w:uiPriority w:val="34"/>
    <w:qFormat/>
    <w:rsid w:val="00E4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5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6780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rcot.webex.com/erc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SupportServices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Boisseau</dc:creator>
  <cp:keywords/>
  <dc:description/>
  <cp:lastModifiedBy>Heather Boisseau</cp:lastModifiedBy>
  <cp:revision>38</cp:revision>
  <dcterms:created xsi:type="dcterms:W3CDTF">2019-07-23T20:46:00Z</dcterms:created>
  <dcterms:modified xsi:type="dcterms:W3CDTF">2019-09-19T19:11:00Z</dcterms:modified>
</cp:coreProperties>
</file>