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34C" w:rsidRPr="002A134C" w:rsidRDefault="00C60CDD" w:rsidP="002A134C">
      <w:pPr>
        <w:jc w:val="center"/>
        <w:rPr>
          <w:sz w:val="36"/>
          <w:szCs w:val="36"/>
        </w:rPr>
      </w:pPr>
      <w:r>
        <w:rPr>
          <w:sz w:val="36"/>
          <w:szCs w:val="36"/>
        </w:rPr>
        <w:t>SAWG Scope</w:t>
      </w:r>
    </w:p>
    <w:p w:rsidR="002A134C" w:rsidRDefault="002A134C" w:rsidP="002A134C">
      <w:pPr>
        <w:jc w:val="center"/>
        <w:rPr>
          <w:sz w:val="36"/>
          <w:szCs w:val="36"/>
        </w:rPr>
      </w:pPr>
      <w:r w:rsidRPr="002A134C">
        <w:rPr>
          <w:sz w:val="36"/>
          <w:szCs w:val="36"/>
        </w:rPr>
        <w:t xml:space="preserve">WMS Approved </w:t>
      </w:r>
      <w:r w:rsidR="00C60CDD">
        <w:rPr>
          <w:sz w:val="36"/>
          <w:szCs w:val="36"/>
        </w:rPr>
        <w:t>December 3, 2014</w:t>
      </w:r>
    </w:p>
    <w:p w:rsidR="002A134C" w:rsidRPr="002A134C" w:rsidRDefault="002A134C" w:rsidP="002A134C">
      <w:pPr>
        <w:jc w:val="center"/>
        <w:rPr>
          <w:sz w:val="24"/>
          <w:szCs w:val="24"/>
        </w:rPr>
      </w:pPr>
    </w:p>
    <w:p w:rsidR="00C60CDD" w:rsidRPr="00C60CDD" w:rsidRDefault="00C60CDD" w:rsidP="00C60CDD">
      <w:pPr>
        <w:rPr>
          <w:sz w:val="24"/>
          <w:szCs w:val="24"/>
        </w:rPr>
      </w:pPr>
      <w:r>
        <w:rPr>
          <w:sz w:val="24"/>
          <w:szCs w:val="24"/>
        </w:rPr>
        <w:t>At the direction </w:t>
      </w:r>
      <w:r w:rsidRPr="00C60CDD">
        <w:rPr>
          <w:sz w:val="24"/>
          <w:szCs w:val="24"/>
        </w:rPr>
        <w:t>of the Wholesale Market Subcommittee (WMS), SAWG evaluate proposals for market design as they pertain to Resource adequacy and the resource reporting methodologies.  SAWG Annually reviews the components and construction of the Capacity, Demand, and Reserves Report (CDR), the Seasonal Assessment of Resource Adequacy Report (SARA), the Long Term Load Forecast, the NERC Long Term Reliability Assessment, and recommend necessary changes to WMS.  </w:t>
      </w:r>
    </w:p>
    <w:p w:rsidR="00C60CDD" w:rsidRPr="00C60CDD" w:rsidRDefault="00C60CDD" w:rsidP="00C60CDD">
      <w:pPr>
        <w:rPr>
          <w:sz w:val="24"/>
          <w:szCs w:val="24"/>
        </w:rPr>
      </w:pPr>
      <w:r w:rsidRPr="00C60CDD">
        <w:rPr>
          <w:sz w:val="24"/>
          <w:szCs w:val="24"/>
        </w:rPr>
        <w:t>SAWG also reviews and recommends market design principles, issues, and proposals related to supply side adequacy as assigned by WMS.</w:t>
      </w:r>
    </w:p>
    <w:p w:rsidR="009455CE" w:rsidRPr="002A134C" w:rsidRDefault="00C60CDD">
      <w:pPr>
        <w:rPr>
          <w:sz w:val="24"/>
          <w:szCs w:val="24"/>
        </w:rPr>
      </w:pPr>
      <w:bookmarkStart w:id="0" w:name="_GoBack"/>
      <w:bookmarkEnd w:id="0"/>
    </w:p>
    <w:sectPr w:rsidR="009455CE" w:rsidRPr="002A134C" w:rsidSect="00FF7F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34C"/>
    <w:rsid w:val="002A134C"/>
    <w:rsid w:val="00421BD0"/>
    <w:rsid w:val="005C4260"/>
    <w:rsid w:val="00BD72E6"/>
    <w:rsid w:val="00C60CDD"/>
    <w:rsid w:val="00FF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F3912-D769-4BF9-AFB7-652954B2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34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298026">
      <w:bodyDiv w:val="1"/>
      <w:marLeft w:val="0"/>
      <w:marRight w:val="0"/>
      <w:marTop w:val="0"/>
      <w:marBottom w:val="0"/>
      <w:divBdr>
        <w:top w:val="none" w:sz="0" w:space="0" w:color="auto"/>
        <w:left w:val="none" w:sz="0" w:space="0" w:color="auto"/>
        <w:bottom w:val="none" w:sz="0" w:space="0" w:color="auto"/>
        <w:right w:val="none" w:sz="0" w:space="0" w:color="auto"/>
      </w:divBdr>
      <w:divsChild>
        <w:div w:id="106433087">
          <w:marLeft w:val="0"/>
          <w:marRight w:val="0"/>
          <w:marTop w:val="100"/>
          <w:marBottom w:val="100"/>
          <w:divBdr>
            <w:top w:val="none" w:sz="0" w:space="0" w:color="auto"/>
            <w:left w:val="none" w:sz="0" w:space="0" w:color="auto"/>
            <w:bottom w:val="none" w:sz="0" w:space="0" w:color="auto"/>
            <w:right w:val="none" w:sz="0" w:space="0" w:color="auto"/>
          </w:divBdr>
          <w:divsChild>
            <w:div w:id="1956136371">
              <w:marLeft w:val="225"/>
              <w:marRight w:val="225"/>
              <w:marTop w:val="0"/>
              <w:marBottom w:val="0"/>
              <w:divBdr>
                <w:top w:val="none" w:sz="0" w:space="0" w:color="auto"/>
                <w:left w:val="none" w:sz="0" w:space="0" w:color="auto"/>
                <w:bottom w:val="none" w:sz="0" w:space="0" w:color="auto"/>
                <w:right w:val="none" w:sz="0" w:space="0" w:color="auto"/>
              </w:divBdr>
              <w:divsChild>
                <w:div w:id="1141966234">
                  <w:marLeft w:val="0"/>
                  <w:marRight w:val="0"/>
                  <w:marTop w:val="0"/>
                  <w:marBottom w:val="0"/>
                  <w:divBdr>
                    <w:top w:val="none" w:sz="0" w:space="0" w:color="auto"/>
                    <w:left w:val="none" w:sz="0" w:space="0" w:color="auto"/>
                    <w:bottom w:val="none" w:sz="0" w:space="0" w:color="auto"/>
                    <w:right w:val="none" w:sz="0" w:space="0" w:color="auto"/>
                  </w:divBdr>
                  <w:divsChild>
                    <w:div w:id="1987052476">
                      <w:marLeft w:val="600"/>
                      <w:marRight w:val="375"/>
                      <w:marTop w:val="0"/>
                      <w:marBottom w:val="0"/>
                      <w:divBdr>
                        <w:top w:val="none" w:sz="0" w:space="0" w:color="auto"/>
                        <w:left w:val="none" w:sz="0" w:space="0" w:color="auto"/>
                        <w:bottom w:val="none" w:sz="0" w:space="0" w:color="auto"/>
                        <w:right w:val="none" w:sz="0" w:space="0" w:color="auto"/>
                      </w:divBdr>
                      <w:divsChild>
                        <w:div w:id="88522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3</cp:revision>
  <dcterms:created xsi:type="dcterms:W3CDTF">2019-06-27T14:56:00Z</dcterms:created>
  <dcterms:modified xsi:type="dcterms:W3CDTF">2019-06-27T14:57:00Z</dcterms:modified>
</cp:coreProperties>
</file>