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953" w:rsidRPr="004C4953" w:rsidRDefault="004C4953" w:rsidP="004C4953">
      <w:pPr>
        <w:jc w:val="center"/>
        <w:rPr>
          <w:b/>
        </w:rPr>
      </w:pPr>
      <w:r>
        <w:rPr>
          <w:b/>
        </w:rPr>
        <w:t>RCWG Assessment</w:t>
      </w:r>
    </w:p>
    <w:p w:rsidR="004C4953" w:rsidRDefault="004C4953" w:rsidP="004C4953"/>
    <w:p w:rsidR="004C4953" w:rsidRDefault="004C4953" w:rsidP="004C4953">
      <w:r>
        <w:t>Scope – The defined scope of establishing business policies and procedures necessary to evaluate Resource costs is still appropriate.</w:t>
      </w:r>
      <w:r w:rsidR="00A273CD">
        <w:br/>
      </w:r>
    </w:p>
    <w:p w:rsidR="004C4953" w:rsidRDefault="004C4953" w:rsidP="004C4953">
      <w:r>
        <w:t>Open Actions Items – The following items can be removed:</w:t>
      </w:r>
    </w:p>
    <w:tbl>
      <w:tblPr>
        <w:tblpPr w:leftFromText="180" w:rightFromText="180" w:vertAnchor="text"/>
        <w:tblW w:w="9890" w:type="dxa"/>
        <w:tblCellMar>
          <w:left w:w="0" w:type="dxa"/>
          <w:right w:w="0" w:type="dxa"/>
        </w:tblCellMar>
        <w:tblLook w:val="04A0" w:firstRow="1" w:lastRow="0" w:firstColumn="1" w:lastColumn="0" w:noHBand="0" w:noVBand="1"/>
      </w:tblPr>
      <w:tblGrid>
        <w:gridCol w:w="4080"/>
        <w:gridCol w:w="950"/>
        <w:gridCol w:w="2968"/>
        <w:gridCol w:w="1892"/>
      </w:tblGrid>
      <w:tr w:rsidR="004C4953" w:rsidTr="00A273CD">
        <w:trPr>
          <w:cantSplit/>
          <w:trHeight w:val="80"/>
        </w:trPr>
        <w:tc>
          <w:tcPr>
            <w:tcW w:w="4080" w:type="dxa"/>
            <w:tcBorders>
              <w:top w:val="single" w:sz="8" w:space="0" w:color="auto"/>
              <w:left w:val="single" w:sz="8" w:space="0" w:color="auto"/>
              <w:bottom w:val="single" w:sz="8" w:space="0" w:color="auto"/>
              <w:right w:val="single" w:sz="8" w:space="0" w:color="auto"/>
            </w:tcBorders>
            <w:tcMar>
              <w:top w:w="0" w:type="dxa"/>
              <w:left w:w="72" w:type="dxa"/>
              <w:bottom w:w="72" w:type="dxa"/>
              <w:right w:w="72" w:type="dxa"/>
            </w:tcMar>
            <w:hideMark/>
          </w:tcPr>
          <w:p w:rsidR="004C4953" w:rsidRDefault="004C4953">
            <w:r>
              <w:t>Review recovery of Auxiliary Equipment Power Costs and related issues for ERCOT draft  VCMRR, Resource Auxiliary Power Requirements in Verifiable Costs</w:t>
            </w:r>
          </w:p>
        </w:tc>
        <w:tc>
          <w:tcPr>
            <w:tcW w:w="950" w:type="dxa"/>
            <w:tcBorders>
              <w:top w:val="single" w:sz="8" w:space="0" w:color="auto"/>
              <w:left w:val="nil"/>
              <w:bottom w:val="single" w:sz="8" w:space="0" w:color="auto"/>
              <w:right w:val="single" w:sz="8" w:space="0" w:color="auto"/>
            </w:tcBorders>
            <w:tcMar>
              <w:top w:w="0" w:type="dxa"/>
              <w:left w:w="72" w:type="dxa"/>
              <w:bottom w:w="72" w:type="dxa"/>
              <w:right w:w="72" w:type="dxa"/>
            </w:tcMar>
            <w:hideMark/>
          </w:tcPr>
          <w:p w:rsidR="004C4953" w:rsidRDefault="004C4953">
            <w:r>
              <w:t>RCWG</w:t>
            </w:r>
          </w:p>
        </w:tc>
        <w:tc>
          <w:tcPr>
            <w:tcW w:w="296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C4953" w:rsidRDefault="004C4953"/>
        </w:tc>
        <w:tc>
          <w:tcPr>
            <w:tcW w:w="18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4953" w:rsidRDefault="004C4953">
            <w:r>
              <w:t>03/06/2019</w:t>
            </w:r>
          </w:p>
          <w:p w:rsidR="004C4953" w:rsidRDefault="004C4953">
            <w:r>
              <w:t>Will be voted on at September TAC meeting.</w:t>
            </w:r>
          </w:p>
        </w:tc>
      </w:tr>
      <w:tr w:rsidR="004C4953" w:rsidTr="00A273CD">
        <w:trPr>
          <w:cantSplit/>
          <w:trHeight w:val="80"/>
        </w:trPr>
        <w:tc>
          <w:tcPr>
            <w:tcW w:w="4080" w:type="dxa"/>
            <w:tcBorders>
              <w:top w:val="nil"/>
              <w:left w:val="single" w:sz="8" w:space="0" w:color="auto"/>
              <w:bottom w:val="single" w:sz="8" w:space="0" w:color="auto"/>
              <w:right w:val="single" w:sz="8" w:space="0" w:color="auto"/>
            </w:tcBorders>
            <w:tcMar>
              <w:top w:w="0" w:type="dxa"/>
              <w:left w:w="72" w:type="dxa"/>
              <w:bottom w:w="72" w:type="dxa"/>
              <w:right w:w="72" w:type="dxa"/>
            </w:tcMar>
            <w:hideMark/>
          </w:tcPr>
          <w:p w:rsidR="004C4953" w:rsidRDefault="004C4953">
            <w:pPr>
              <w:rPr>
                <w:strike/>
              </w:rPr>
            </w:pPr>
            <w:r>
              <w:rPr>
                <w:strike/>
              </w:rPr>
              <w:t>Review removal of PPA applied in Verifiable Cost from Protocol</w:t>
            </w:r>
          </w:p>
        </w:tc>
        <w:tc>
          <w:tcPr>
            <w:tcW w:w="950" w:type="dxa"/>
            <w:tcBorders>
              <w:top w:val="nil"/>
              <w:left w:val="nil"/>
              <w:bottom w:val="single" w:sz="8" w:space="0" w:color="auto"/>
              <w:right w:val="single" w:sz="8" w:space="0" w:color="auto"/>
            </w:tcBorders>
            <w:tcMar>
              <w:top w:w="0" w:type="dxa"/>
              <w:left w:w="72" w:type="dxa"/>
              <w:bottom w:w="72" w:type="dxa"/>
              <w:right w:w="72" w:type="dxa"/>
            </w:tcMar>
            <w:hideMark/>
          </w:tcPr>
          <w:p w:rsidR="004C4953" w:rsidRDefault="004C4953">
            <w:pPr>
              <w:rPr>
                <w:strike/>
              </w:rPr>
            </w:pPr>
            <w:r>
              <w:rPr>
                <w:strike/>
              </w:rPr>
              <w:t>RCWG</w:t>
            </w:r>
          </w:p>
        </w:tc>
        <w:tc>
          <w:tcPr>
            <w:tcW w:w="2968" w:type="dxa"/>
            <w:tcBorders>
              <w:top w:val="nil"/>
              <w:left w:val="nil"/>
              <w:bottom w:val="single" w:sz="8" w:space="0" w:color="auto"/>
              <w:right w:val="single" w:sz="8" w:space="0" w:color="auto"/>
            </w:tcBorders>
            <w:tcMar>
              <w:top w:w="0" w:type="dxa"/>
              <w:left w:w="108" w:type="dxa"/>
              <w:bottom w:w="0" w:type="dxa"/>
              <w:right w:w="108" w:type="dxa"/>
            </w:tcMar>
            <w:hideMark/>
          </w:tcPr>
          <w:p w:rsidR="004C4953" w:rsidRDefault="004C4953">
            <w:pPr>
              <w:rPr>
                <w:strike/>
              </w:rPr>
            </w:pPr>
            <w:r>
              <w:rPr>
                <w:strike/>
              </w:rPr>
              <w:t>On Hold -until exceptional Fuel Cost (NPRR847) is addressed</w:t>
            </w:r>
          </w:p>
        </w:tc>
        <w:tc>
          <w:tcPr>
            <w:tcW w:w="1892" w:type="dxa"/>
            <w:tcBorders>
              <w:top w:val="nil"/>
              <w:left w:val="nil"/>
              <w:bottom w:val="single" w:sz="8" w:space="0" w:color="auto"/>
              <w:right w:val="single" w:sz="8" w:space="0" w:color="auto"/>
            </w:tcBorders>
            <w:tcMar>
              <w:top w:w="0" w:type="dxa"/>
              <w:left w:w="108" w:type="dxa"/>
              <w:bottom w:w="0" w:type="dxa"/>
              <w:right w:w="108" w:type="dxa"/>
            </w:tcMar>
            <w:hideMark/>
          </w:tcPr>
          <w:p w:rsidR="004C4953" w:rsidRDefault="004C4953">
            <w:pPr>
              <w:rPr>
                <w:strike/>
              </w:rPr>
            </w:pPr>
            <w:r>
              <w:rPr>
                <w:strike/>
              </w:rPr>
              <w:t>10/29/2014</w:t>
            </w:r>
          </w:p>
        </w:tc>
      </w:tr>
      <w:tr w:rsidR="004C4953" w:rsidTr="00A273CD">
        <w:trPr>
          <w:cantSplit/>
          <w:trHeight w:val="80"/>
        </w:trPr>
        <w:tc>
          <w:tcPr>
            <w:tcW w:w="4080" w:type="dxa"/>
            <w:tcBorders>
              <w:top w:val="nil"/>
              <w:left w:val="single" w:sz="8" w:space="0" w:color="auto"/>
              <w:bottom w:val="single" w:sz="8" w:space="0" w:color="auto"/>
              <w:right w:val="single" w:sz="8" w:space="0" w:color="auto"/>
            </w:tcBorders>
            <w:tcMar>
              <w:top w:w="0" w:type="dxa"/>
              <w:left w:w="72" w:type="dxa"/>
              <w:bottom w:w="72" w:type="dxa"/>
              <w:right w:w="72" w:type="dxa"/>
            </w:tcMar>
            <w:hideMark/>
          </w:tcPr>
          <w:p w:rsidR="004C4953" w:rsidRDefault="004C4953">
            <w:pPr>
              <w:rPr>
                <w:strike/>
              </w:rPr>
            </w:pPr>
            <w:r>
              <w:rPr>
                <w:strike/>
              </w:rPr>
              <w:t>Coal Index – Long Term Solution</w:t>
            </w:r>
          </w:p>
        </w:tc>
        <w:tc>
          <w:tcPr>
            <w:tcW w:w="950" w:type="dxa"/>
            <w:tcBorders>
              <w:top w:val="nil"/>
              <w:left w:val="nil"/>
              <w:bottom w:val="single" w:sz="8" w:space="0" w:color="auto"/>
              <w:right w:val="single" w:sz="8" w:space="0" w:color="auto"/>
            </w:tcBorders>
            <w:tcMar>
              <w:top w:w="0" w:type="dxa"/>
              <w:left w:w="72" w:type="dxa"/>
              <w:bottom w:w="72" w:type="dxa"/>
              <w:right w:w="72" w:type="dxa"/>
            </w:tcMar>
            <w:hideMark/>
          </w:tcPr>
          <w:p w:rsidR="004C4953" w:rsidRDefault="004C4953">
            <w:pPr>
              <w:rPr>
                <w:strike/>
              </w:rPr>
            </w:pPr>
            <w:r>
              <w:rPr>
                <w:strike/>
              </w:rPr>
              <w:t>RCWG</w:t>
            </w:r>
          </w:p>
        </w:tc>
        <w:tc>
          <w:tcPr>
            <w:tcW w:w="2968" w:type="dxa"/>
            <w:tcBorders>
              <w:top w:val="nil"/>
              <w:left w:val="nil"/>
              <w:bottom w:val="single" w:sz="8" w:space="0" w:color="auto"/>
              <w:right w:val="single" w:sz="8" w:space="0" w:color="auto"/>
            </w:tcBorders>
            <w:tcMar>
              <w:top w:w="0" w:type="dxa"/>
              <w:left w:w="108" w:type="dxa"/>
              <w:bottom w:w="0" w:type="dxa"/>
              <w:right w:w="108" w:type="dxa"/>
            </w:tcMar>
            <w:hideMark/>
          </w:tcPr>
          <w:p w:rsidR="004C4953" w:rsidRDefault="004C4953">
            <w:pPr>
              <w:rPr>
                <w:strike/>
              </w:rPr>
            </w:pPr>
            <w:r>
              <w:rPr>
                <w:strike/>
              </w:rPr>
              <w:t>Alternatives to be drafted at RCWG</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rsidR="004C4953" w:rsidRDefault="004C4953">
            <w:pPr>
              <w:rPr>
                <w:strike/>
              </w:rPr>
            </w:pPr>
            <w:r>
              <w:rPr>
                <w:strike/>
              </w:rPr>
              <w:t>06/08/2016</w:t>
            </w:r>
          </w:p>
          <w:p w:rsidR="004C4953" w:rsidRDefault="004C4953">
            <w:pPr>
              <w:rPr>
                <w:strike/>
              </w:rPr>
            </w:pPr>
          </w:p>
        </w:tc>
      </w:tr>
    </w:tbl>
    <w:p w:rsidR="004C4953" w:rsidRDefault="004C4953" w:rsidP="004C4953"/>
    <w:p w:rsidR="004C4953" w:rsidRDefault="004C4953" w:rsidP="004C4953">
      <w:r>
        <w:t>The following issue could still be taken up:</w:t>
      </w:r>
    </w:p>
    <w:tbl>
      <w:tblPr>
        <w:tblpPr w:leftFromText="180" w:rightFromText="180" w:vertAnchor="text"/>
        <w:tblW w:w="0" w:type="dxa"/>
        <w:tblCellMar>
          <w:left w:w="0" w:type="dxa"/>
          <w:right w:w="0" w:type="dxa"/>
        </w:tblCellMar>
        <w:tblLook w:val="04A0" w:firstRow="1" w:lastRow="0" w:firstColumn="1" w:lastColumn="0" w:noHBand="0" w:noVBand="1"/>
      </w:tblPr>
      <w:tblGrid>
        <w:gridCol w:w="4392"/>
        <w:gridCol w:w="1440"/>
        <w:gridCol w:w="2700"/>
        <w:gridCol w:w="1350"/>
      </w:tblGrid>
      <w:tr w:rsidR="004C4953" w:rsidTr="004C4953">
        <w:trPr>
          <w:cantSplit/>
          <w:trHeight w:val="80"/>
        </w:trPr>
        <w:tc>
          <w:tcPr>
            <w:tcW w:w="4392" w:type="dxa"/>
            <w:tcBorders>
              <w:top w:val="single" w:sz="8" w:space="0" w:color="auto"/>
              <w:left w:val="single" w:sz="8" w:space="0" w:color="auto"/>
              <w:bottom w:val="single" w:sz="8" w:space="0" w:color="auto"/>
              <w:right w:val="single" w:sz="8" w:space="0" w:color="auto"/>
            </w:tcBorders>
            <w:tcMar>
              <w:top w:w="0" w:type="dxa"/>
              <w:left w:w="72" w:type="dxa"/>
              <w:bottom w:w="72" w:type="dxa"/>
              <w:right w:w="72" w:type="dxa"/>
            </w:tcMar>
            <w:hideMark/>
          </w:tcPr>
          <w:p w:rsidR="004C4953" w:rsidRDefault="004C4953">
            <w:pPr>
              <w:rPr>
                <w:strike/>
              </w:rPr>
            </w:pPr>
            <w:r>
              <w:rPr>
                <w:strike/>
              </w:rPr>
              <w:t>RUC mitigation methodology in NPRR826</w:t>
            </w:r>
          </w:p>
          <w:p w:rsidR="004C4953" w:rsidRDefault="004C4953">
            <w:r>
              <w:t>NPRR838,  Updated O&amp;M Cost for RMR Resources</w:t>
            </w:r>
          </w:p>
        </w:tc>
        <w:tc>
          <w:tcPr>
            <w:tcW w:w="1440" w:type="dxa"/>
            <w:tcBorders>
              <w:top w:val="single" w:sz="8" w:space="0" w:color="auto"/>
              <w:left w:val="nil"/>
              <w:bottom w:val="single" w:sz="8" w:space="0" w:color="auto"/>
              <w:right w:val="single" w:sz="8" w:space="0" w:color="auto"/>
            </w:tcBorders>
            <w:tcMar>
              <w:top w:w="0" w:type="dxa"/>
              <w:left w:w="72" w:type="dxa"/>
              <w:bottom w:w="72" w:type="dxa"/>
              <w:right w:w="72" w:type="dxa"/>
            </w:tcMar>
            <w:hideMark/>
          </w:tcPr>
          <w:p w:rsidR="004C4953" w:rsidRDefault="004C4953">
            <w:r>
              <w:t>WMWG / RCWG</w:t>
            </w:r>
          </w:p>
        </w:tc>
        <w:tc>
          <w:tcPr>
            <w:tcW w:w="27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4953" w:rsidRDefault="004C4953">
            <w:r>
              <w:t xml:space="preserve">05/01/2019 – IMM concerns with incentives in treating RMR/RUC Resources the same, and WMWG update – NPRR838 not needed if NPRR826 passes, continue to hold, once NPRR826 finalized, RCWG can take up the issues.  </w:t>
            </w:r>
          </w:p>
          <w:p w:rsidR="004C4953" w:rsidRDefault="004C4953">
            <w:r>
              <w:t xml:space="preserve">Update on 04/03/2019 WMS – NPRR826/NPRR 838 progress forward need to review issues at next WMWG – </w:t>
            </w:r>
          </w:p>
          <w:p w:rsidR="004C4953" w:rsidRDefault="004C4953">
            <w:r>
              <w:t>If gravitating to a low number on NPRR838, relook at NPRR826 and confirm better solution</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C4953" w:rsidRDefault="004C4953">
            <w:r>
              <w:t>05/01/2019</w:t>
            </w:r>
          </w:p>
          <w:p w:rsidR="004C4953" w:rsidRDefault="004C4953"/>
          <w:p w:rsidR="004C4953" w:rsidRDefault="004C4953"/>
          <w:p w:rsidR="004C4953" w:rsidRDefault="004C4953"/>
          <w:p w:rsidR="004C4953" w:rsidRDefault="004C4953"/>
          <w:p w:rsidR="004C4953" w:rsidRDefault="004C4953"/>
          <w:p w:rsidR="004C4953" w:rsidRDefault="004C4953"/>
          <w:p w:rsidR="004C4953" w:rsidRDefault="004C4953"/>
          <w:p w:rsidR="004C4953" w:rsidRDefault="004C4953"/>
          <w:p w:rsidR="004C4953" w:rsidRDefault="004C4953">
            <w:r>
              <w:t xml:space="preserve">04/03/2019 </w:t>
            </w:r>
          </w:p>
          <w:p w:rsidR="004C4953" w:rsidRDefault="004C4953"/>
          <w:p w:rsidR="004C4953" w:rsidRDefault="004C4953"/>
          <w:p w:rsidR="004C4953" w:rsidRDefault="004C4953"/>
          <w:p w:rsidR="004C4953" w:rsidRDefault="004C4953">
            <w:r>
              <w:t>07/11/2018</w:t>
            </w:r>
          </w:p>
        </w:tc>
      </w:tr>
    </w:tbl>
    <w:p w:rsidR="004C4953" w:rsidRDefault="004C4953" w:rsidP="004C4953"/>
    <w:p w:rsidR="00781F62" w:rsidRDefault="00781F62" w:rsidP="004C4953"/>
    <w:p w:rsidR="004C4953" w:rsidRDefault="004C4953" w:rsidP="004C4953">
      <w:bookmarkStart w:id="0" w:name="_GoBack"/>
      <w:bookmarkEnd w:id="0"/>
      <w:r>
        <w:t>Meeting schedule – RCWG meets on an as needed basis, which is normally quarterly.  Meetings usually last about one hour.  Since the agenda is usually focused on only one or two topics, participation includes entities directly impacted by the topics.</w:t>
      </w:r>
    </w:p>
    <w:p w:rsidR="00A273CD" w:rsidRDefault="00A273CD" w:rsidP="004C4953"/>
    <w:p w:rsidR="00A273CD" w:rsidRDefault="004C4953" w:rsidP="004C4953">
      <w:r>
        <w:t>Similar scope – Resource costs and updates to the Verifiable Cost Manual are limited to this WG.</w:t>
      </w:r>
    </w:p>
    <w:p w:rsidR="00A273CD" w:rsidRDefault="00A273CD" w:rsidP="004C4953"/>
    <w:p w:rsidR="004C4953" w:rsidRDefault="004C4953" w:rsidP="004C4953">
      <w:r>
        <w:t>Still needed – Yes, the group serves a unique role in reviewing fixed, variable, and fuel costs to determine changes to manuals and procedures.</w:t>
      </w:r>
    </w:p>
    <w:p w:rsidR="004C4953" w:rsidRDefault="004C4953" w:rsidP="004C4953">
      <w:pPr>
        <w:rPr>
          <w:color w:val="1F497D"/>
        </w:rPr>
      </w:pPr>
    </w:p>
    <w:p w:rsidR="00B967E5" w:rsidRDefault="00B967E5"/>
    <w:sectPr w:rsidR="00B967E5" w:rsidSect="00A273CD">
      <w:pgSz w:w="12240" w:h="15840"/>
      <w:pgMar w:top="1008"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4D3"/>
    <w:rsid w:val="003222A7"/>
    <w:rsid w:val="004C4953"/>
    <w:rsid w:val="00781F62"/>
    <w:rsid w:val="008644D3"/>
    <w:rsid w:val="00A273CD"/>
    <w:rsid w:val="00B96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D2C561-6C52-4FE2-B185-20BE0102C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95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11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258</Words>
  <Characters>1472</Characters>
  <Application>Microsoft Office Word</Application>
  <DocSecurity>0</DocSecurity>
  <Lines>12</Lines>
  <Paragraphs>3</Paragraphs>
  <ScaleCrop>false</ScaleCrop>
  <Company>The Electric Reliability Council of Texas</Company>
  <LinksUpToDate>false</LinksUpToDate>
  <CharactersWithSpaces>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Clifton, Suzy</dc:creator>
  <cp:keywords/>
  <dc:description/>
  <cp:lastModifiedBy>Clifton, Suzy</cp:lastModifiedBy>
  <cp:revision>5</cp:revision>
  <dcterms:created xsi:type="dcterms:W3CDTF">2019-09-03T18:23:00Z</dcterms:created>
  <dcterms:modified xsi:type="dcterms:W3CDTF">2019-09-03T18:30:00Z</dcterms:modified>
</cp:coreProperties>
</file>