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6DBD" w14:textId="2F4EDA5E" w:rsidR="00DC245E" w:rsidRDefault="00DC245E" w:rsidP="00125382">
      <w:pPr>
        <w:contextualSpacing/>
      </w:pPr>
    </w:p>
    <w:p w14:paraId="6585EAEC" w14:textId="2566E566" w:rsidR="00DC245E" w:rsidRDefault="00DC245E" w:rsidP="00DC245E">
      <w:pPr>
        <w:pStyle w:val="ListParagraph"/>
      </w:pPr>
      <w:r>
        <w:t>Recap of July SAWG Meeting:</w:t>
      </w:r>
    </w:p>
    <w:p w14:paraId="7BE8FC83" w14:textId="77777777" w:rsidR="00DC245E" w:rsidRDefault="00DC245E" w:rsidP="00DC245E">
      <w:pPr>
        <w:pStyle w:val="ListParagraph"/>
      </w:pPr>
    </w:p>
    <w:p w14:paraId="26F54FDF" w14:textId="51BAEDF2" w:rsidR="00DC245E" w:rsidRPr="00DC245E" w:rsidRDefault="00DC245E" w:rsidP="00DC245E">
      <w:pPr>
        <w:pStyle w:val="ListParagraph"/>
        <w:numPr>
          <w:ilvl w:val="0"/>
          <w:numId w:val="3"/>
        </w:numPr>
      </w:pPr>
      <w:r w:rsidRPr="00DC245E">
        <w:t xml:space="preserve">ERCOT presented an NPRR to revise Section 4.4.11 of the Nodal Protocols to introduce an </w:t>
      </w:r>
      <w:r>
        <w:t>“</w:t>
      </w:r>
      <w:r w:rsidRPr="00DC245E">
        <w:t>Other Binding Document</w:t>
      </w:r>
      <w:r>
        <w:t>”</w:t>
      </w:r>
      <w:r w:rsidRPr="00DC245E">
        <w:t xml:space="preserve"> that would provide the CONE methodology, timetable, and past and current CONE and PNM threshold values</w:t>
      </w:r>
    </w:p>
    <w:p w14:paraId="2C05E1C0" w14:textId="77777777" w:rsidR="00DC245E" w:rsidRPr="00DC245E" w:rsidRDefault="00DC245E" w:rsidP="00DC245E">
      <w:pPr>
        <w:pStyle w:val="ListParagraph"/>
      </w:pPr>
    </w:p>
    <w:p w14:paraId="78B23E04" w14:textId="77777777" w:rsidR="00DC245E" w:rsidRPr="00DC245E" w:rsidRDefault="00DC245E" w:rsidP="00DC245E">
      <w:pPr>
        <w:pStyle w:val="ListParagraph"/>
        <w:numPr>
          <w:ilvl w:val="0"/>
          <w:numId w:val="3"/>
        </w:numPr>
      </w:pPr>
      <w:r w:rsidRPr="00DC245E">
        <w:t>Stakeholders expressed a preference for the content of the OBD to be in the protocols</w:t>
      </w:r>
    </w:p>
    <w:p w14:paraId="6902134A" w14:textId="77777777" w:rsidR="00DC245E" w:rsidRPr="00DC245E" w:rsidRDefault="00DC245E" w:rsidP="00DC245E">
      <w:pPr>
        <w:pStyle w:val="ListParagraph"/>
      </w:pPr>
    </w:p>
    <w:p w14:paraId="60F9889D" w14:textId="77777777" w:rsidR="00DC245E" w:rsidRDefault="00DC245E" w:rsidP="00DC245E">
      <w:pPr>
        <w:pStyle w:val="ListParagraph"/>
        <w:numPr>
          <w:ilvl w:val="0"/>
          <w:numId w:val="3"/>
        </w:numPr>
      </w:pPr>
      <w:r w:rsidRPr="00DC245E">
        <w:t xml:space="preserve">Next steps: </w:t>
      </w:r>
    </w:p>
    <w:p w14:paraId="5FFAD34A" w14:textId="77777777" w:rsidR="00DC245E" w:rsidRDefault="00DC245E" w:rsidP="00DC245E">
      <w:pPr>
        <w:pStyle w:val="ListParagraph"/>
      </w:pPr>
    </w:p>
    <w:p w14:paraId="13CB680A" w14:textId="77777777" w:rsidR="00DC245E" w:rsidRDefault="00DC245E" w:rsidP="00DC245E">
      <w:pPr>
        <w:pStyle w:val="ListParagraph"/>
        <w:numPr>
          <w:ilvl w:val="1"/>
          <w:numId w:val="3"/>
        </w:numPr>
      </w:pPr>
      <w:r w:rsidRPr="00DC245E">
        <w:t xml:space="preserve">ERCOT to speak to Brattle about doing an ERCOT-specific methodology </w:t>
      </w:r>
    </w:p>
    <w:p w14:paraId="4FB13D24" w14:textId="0AA26A0F" w:rsidR="00DC245E" w:rsidRDefault="00DC245E" w:rsidP="00DC245E">
      <w:pPr>
        <w:pStyle w:val="ListParagraph"/>
        <w:numPr>
          <w:ilvl w:val="1"/>
          <w:numId w:val="3"/>
        </w:numPr>
      </w:pPr>
      <w:r w:rsidRPr="00DC245E">
        <w:t>SAWG and ERCOT to begin to develop content for NPRR or OBD (if methodology would be a lengthy document)</w:t>
      </w:r>
    </w:p>
    <w:p w14:paraId="182D51E7" w14:textId="6E368D9F" w:rsidR="00DC245E" w:rsidRDefault="00DC245E">
      <w:r>
        <w:br w:type="page"/>
      </w:r>
    </w:p>
    <w:p w14:paraId="3DE40A6B" w14:textId="77777777" w:rsidR="00DC245E" w:rsidRDefault="00DC245E" w:rsidP="00DC245E">
      <w:pPr>
        <w:ind w:firstLine="810"/>
      </w:pPr>
      <w:bookmarkStart w:id="0" w:name="_GoBack"/>
      <w:bookmarkEnd w:id="0"/>
    </w:p>
    <w:p w14:paraId="16184A8E" w14:textId="5D837BB2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>
        <w:t>Technology type</w:t>
      </w:r>
      <w:r w:rsidR="000D2CA4">
        <w:t>s</w:t>
      </w:r>
      <w:r>
        <w:t xml:space="preserve"> screening (1,2)</w:t>
      </w:r>
    </w:p>
    <w:p w14:paraId="16184A8F" w14:textId="77777777" w:rsidR="00125382" w:rsidRP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trajectory of future revenues, tax rates, and depreciation</w:t>
      </w:r>
    </w:p>
    <w:p w14:paraId="16184A90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environmental regulations</w:t>
      </w:r>
      <w:r>
        <w:t xml:space="preserve"> (2)</w:t>
      </w:r>
    </w:p>
    <w:p w14:paraId="16184A91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Owner capital costs</w:t>
      </w:r>
      <w:r>
        <w:t xml:space="preserve"> (3)</w:t>
      </w:r>
    </w:p>
    <w:p w14:paraId="16184A92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Fixed O&amp;M</w:t>
      </w:r>
      <w:r>
        <w:t xml:space="preserve"> (3)</w:t>
      </w:r>
    </w:p>
    <w:p w14:paraId="16184A93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estimate their cost of capital</w:t>
      </w:r>
    </w:p>
    <w:p w14:paraId="16184A94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 w:rsidRPr="00125382">
        <w:t>discount rate</w:t>
      </w:r>
    </w:p>
    <w:p w14:paraId="16184A95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>
        <w:t xml:space="preserve">Risk adjustments </w:t>
      </w:r>
    </w:p>
    <w:p w14:paraId="16184A96" w14:textId="77777777" w:rsidR="00125382" w:rsidRDefault="00125382" w:rsidP="00DC245E">
      <w:pPr>
        <w:pStyle w:val="ListParagraph"/>
        <w:numPr>
          <w:ilvl w:val="0"/>
          <w:numId w:val="2"/>
        </w:numPr>
        <w:ind w:left="0" w:firstLine="810"/>
      </w:pPr>
      <w:r>
        <w:t>A</w:t>
      </w:r>
      <w:r w:rsidRPr="00125382">
        <w:t>dequate return on capital</w:t>
      </w:r>
    </w:p>
    <w:p w14:paraId="16184A97" w14:textId="77777777" w:rsidR="000D2CA4" w:rsidRDefault="000D2CA4" w:rsidP="00DC245E">
      <w:pPr>
        <w:pStyle w:val="ListParagraph"/>
        <w:numPr>
          <w:ilvl w:val="0"/>
          <w:numId w:val="2"/>
        </w:numPr>
        <w:ind w:left="0" w:firstLine="810"/>
      </w:pPr>
      <w:r>
        <w:t>Locational site choice (node vs land cost)</w:t>
      </w:r>
    </w:p>
    <w:p w14:paraId="16184A98" w14:textId="77777777" w:rsidR="00125382" w:rsidRDefault="00125382"/>
    <w:p w14:paraId="16184A99" w14:textId="77777777" w:rsidR="00125382" w:rsidRDefault="00125382"/>
    <w:p w14:paraId="16184A9A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Screen for candidate reference technologies</w:t>
      </w:r>
    </w:p>
    <w:p w14:paraId="16184A9B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Reliably able to help meet system load when supply is scarce</w:t>
      </w:r>
    </w:p>
    <w:p w14:paraId="16184A9C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Cost effective as a part of the long-term market equilibrium</w:t>
      </w:r>
    </w:p>
    <w:p w14:paraId="16184A9D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Develop detailed specification of reference plants for ERCOT market</w:t>
      </w:r>
    </w:p>
    <w:p w14:paraId="16184A9E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Primarily rely on “revealed preference” of recently developed and proposed plants</w:t>
      </w:r>
    </w:p>
    <w:p w14:paraId="16184A9F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Review environmental regulations, fuel supply options, etc.</w:t>
      </w:r>
    </w:p>
    <w:p w14:paraId="16184AA0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 xml:space="preserve">Estimate costs to build and operate the specified reference plants </w:t>
      </w:r>
    </w:p>
    <w:p w14:paraId="16184AA1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Plant proper capital costs (equipment, materials, labor, EPC contracting costs)</w:t>
      </w:r>
    </w:p>
    <w:p w14:paraId="16184AA2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Owner capital costs (interconnection, startup, land, inventories, financing fees)</w:t>
      </w:r>
    </w:p>
    <w:p w14:paraId="16184AA3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Fixed O&amp;M (labor, materials, property tax, insurance, asset management, working capital)</w:t>
      </w:r>
    </w:p>
    <w:p w14:paraId="16184AA4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Develop ERCOT-specific financial assumptions used to translate costs into CONE</w:t>
      </w:r>
    </w:p>
    <w:p w14:paraId="16184AA5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Identify sample of representative companies and estimate their cost of capital </w:t>
      </w:r>
    </w:p>
    <w:p w14:paraId="16184AA6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Consider additional reference points and qualitative risk adjustments </w:t>
      </w:r>
    </w:p>
    <w:p w14:paraId="16184AA7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 xml:space="preserve">Select appropriate discount rate for merchant generation </w:t>
      </w:r>
    </w:p>
    <w:p w14:paraId="16184AA8" w14:textId="77777777" w:rsidR="00821DBE" w:rsidRPr="00125382" w:rsidRDefault="0085242B" w:rsidP="00125382">
      <w:pPr>
        <w:numPr>
          <w:ilvl w:val="1"/>
          <w:numId w:val="1"/>
        </w:numPr>
      </w:pPr>
      <w:r w:rsidRPr="00125382">
        <w:rPr>
          <w:b/>
          <w:bCs/>
        </w:rPr>
        <w:t>Compute CONE for ERCOT market</w:t>
      </w:r>
    </w:p>
    <w:p w14:paraId="16184AA9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lastRenderedPageBreak/>
        <w:t>Translate costs into the net revenues a plant would need in its first year to earn an adequate return on capital and be willing to enter</w:t>
      </w:r>
    </w:p>
    <w:p w14:paraId="16184AAA" w14:textId="77777777" w:rsidR="00821DBE" w:rsidRPr="00125382" w:rsidRDefault="0085242B" w:rsidP="00125382">
      <w:pPr>
        <w:numPr>
          <w:ilvl w:val="3"/>
          <w:numId w:val="1"/>
        </w:numPr>
      </w:pPr>
      <w:r w:rsidRPr="00125382">
        <w:t>Considers likely trajectory of future revenues, tax rates, and depreciation</w:t>
      </w:r>
    </w:p>
    <w:p w14:paraId="16184AAB" w14:textId="77777777" w:rsidR="00125382" w:rsidRDefault="00125382"/>
    <w:sectPr w:rsidR="00125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4F21" w14:textId="77777777" w:rsidR="00722C8D" w:rsidRDefault="00722C8D" w:rsidP="00722C8D">
      <w:pPr>
        <w:spacing w:after="0" w:line="240" w:lineRule="auto"/>
      </w:pPr>
      <w:r>
        <w:separator/>
      </w:r>
    </w:p>
  </w:endnote>
  <w:endnote w:type="continuationSeparator" w:id="0">
    <w:p w14:paraId="0E69A5DF" w14:textId="77777777" w:rsidR="00722C8D" w:rsidRDefault="00722C8D" w:rsidP="007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8870" w14:textId="77777777" w:rsidR="00722C8D" w:rsidRDefault="00722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1B4ED" w14:textId="77777777" w:rsidR="00722C8D" w:rsidRDefault="00722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4C7A" w14:textId="77777777" w:rsidR="00722C8D" w:rsidRDefault="0072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FA8C2" w14:textId="77777777" w:rsidR="00722C8D" w:rsidRDefault="00722C8D" w:rsidP="00722C8D">
      <w:pPr>
        <w:spacing w:after="0" w:line="240" w:lineRule="auto"/>
      </w:pPr>
      <w:r>
        <w:separator/>
      </w:r>
    </w:p>
  </w:footnote>
  <w:footnote w:type="continuationSeparator" w:id="0">
    <w:p w14:paraId="27321CDA" w14:textId="77777777" w:rsidR="00722C8D" w:rsidRDefault="00722C8D" w:rsidP="007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BBBE" w14:textId="77777777" w:rsidR="00722C8D" w:rsidRDefault="00722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1100"/>
      <w:docPartObj>
        <w:docPartGallery w:val="Watermarks"/>
        <w:docPartUnique/>
      </w:docPartObj>
    </w:sdtPr>
    <w:sdtEndPr/>
    <w:sdtContent>
      <w:p w14:paraId="67533A04" w14:textId="3AD1AEA2" w:rsidR="00722C8D" w:rsidRDefault="00DC245E">
        <w:pPr>
          <w:pStyle w:val="Header"/>
        </w:pPr>
        <w:r>
          <w:rPr>
            <w:noProof/>
          </w:rPr>
          <w:pict w14:anchorId="513E35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DE81" w14:textId="77777777" w:rsidR="00722C8D" w:rsidRDefault="00722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7C"/>
    <w:multiLevelType w:val="hybridMultilevel"/>
    <w:tmpl w:val="EBDAB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1A36"/>
    <w:multiLevelType w:val="hybridMultilevel"/>
    <w:tmpl w:val="9B3CF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612EA6"/>
    <w:multiLevelType w:val="hybridMultilevel"/>
    <w:tmpl w:val="B5E81782"/>
    <w:lvl w:ilvl="0" w:tplc="49082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CE2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A7216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4E60808">
      <w:start w:val="272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AB38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16AC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4A7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C3E5F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C4699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82"/>
    <w:rsid w:val="000663FC"/>
    <w:rsid w:val="000D2CA4"/>
    <w:rsid w:val="00125382"/>
    <w:rsid w:val="00722C8D"/>
    <w:rsid w:val="00821DBE"/>
    <w:rsid w:val="0085242B"/>
    <w:rsid w:val="00D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184A8E"/>
  <w15:chartTrackingRefBased/>
  <w15:docId w15:val="{7FE3B722-3B4E-4375-A05E-8878AD29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C8D"/>
  </w:style>
  <w:style w:type="paragraph" w:styleId="Footer">
    <w:name w:val="footer"/>
    <w:basedOn w:val="Normal"/>
    <w:link w:val="FooterChar"/>
    <w:uiPriority w:val="99"/>
    <w:unhideWhenUsed/>
    <w:rsid w:val="00722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2488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688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88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988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80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37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17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9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87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14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74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75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792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19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225">
          <w:marLeft w:val="89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11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927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7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 061319</dc:creator>
  <cp:keywords/>
  <dc:description/>
  <cp:lastModifiedBy>Smith, Caitlin</cp:lastModifiedBy>
  <cp:revision>3</cp:revision>
  <dcterms:created xsi:type="dcterms:W3CDTF">2019-06-14T15:28:00Z</dcterms:created>
  <dcterms:modified xsi:type="dcterms:W3CDTF">2019-08-26T05:16:00Z</dcterms:modified>
</cp:coreProperties>
</file>