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6E18" w14:textId="77777777" w:rsidR="005030AE" w:rsidRDefault="005030AE" w:rsidP="00337C47">
      <w:pPr>
        <w:pStyle w:val="Heading2"/>
      </w:pPr>
      <w:bookmarkStart w:id="0" w:name="_Toc16064944"/>
    </w:p>
    <w:p w14:paraId="2CC8BA31" w14:textId="2C1672A3" w:rsidR="005030AE" w:rsidRPr="00B63732" w:rsidRDefault="0081683B" w:rsidP="00B63732">
      <w:pPr>
        <w:pStyle w:val="Heading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RTC Design Recommendations</w:t>
      </w:r>
    </w:p>
    <w:p w14:paraId="0D85AC1B" w14:textId="77777777" w:rsidR="005030AE" w:rsidRDefault="005030AE" w:rsidP="00337C47">
      <w:pPr>
        <w:pStyle w:val="Heading2"/>
      </w:pPr>
    </w:p>
    <w:p w14:paraId="492478D3" w14:textId="2B9BA7EB" w:rsidR="005030AE" w:rsidRDefault="005030AE" w:rsidP="00337C47">
      <w:pPr>
        <w:pStyle w:val="Heading2"/>
      </w:pPr>
      <w:r w:rsidRPr="005030AE">
        <w:rPr>
          <w:noProof/>
        </w:rPr>
        <w:drawing>
          <wp:inline distT="0" distB="0" distL="0" distR="0" wp14:anchorId="79C2FD54" wp14:editId="48CE48FC">
            <wp:extent cx="6858000" cy="4052570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F8BC7" w14:textId="3D8D6BD9" w:rsidR="005030AE" w:rsidRDefault="005030AE" w:rsidP="00337C47">
      <w:pPr>
        <w:pStyle w:val="Heading2"/>
      </w:pPr>
    </w:p>
    <w:p w14:paraId="756F4563" w14:textId="3C797D28" w:rsidR="005030AE" w:rsidRPr="009547C8" w:rsidRDefault="00CC125D" w:rsidP="005030AE">
      <w:pPr>
        <w:rPr>
          <w:b/>
          <w:bCs/>
        </w:rPr>
      </w:pPr>
      <w:r w:rsidRPr="009547C8">
        <w:rPr>
          <w:b/>
          <w:bCs/>
        </w:rPr>
        <w:t xml:space="preserve">Recommendation 1: </w:t>
      </w:r>
      <w:r w:rsidR="004D2D45" w:rsidRPr="009547C8">
        <w:rPr>
          <w:b/>
          <w:bCs/>
        </w:rPr>
        <w:t>Divide the ORDC curve in the order of RUS, RRS</w:t>
      </w:r>
      <w:r w:rsidR="002B50FE" w:rsidRPr="009547C8">
        <w:rPr>
          <w:b/>
          <w:bCs/>
        </w:rPr>
        <w:t>, ECRS, and NSRS</w:t>
      </w:r>
      <w:r w:rsidR="009D1615">
        <w:rPr>
          <w:b/>
          <w:bCs/>
        </w:rPr>
        <w:t xml:space="preserve">. </w:t>
      </w:r>
      <w:r w:rsidR="009D1615">
        <w:t>RTC will forgo lower value services before sacrificing higher value services when needed by SCED – e.g. if there’s energy scarcity or ramping issue, RTC will first forgo Non-Spin, then ECRS, then RRS and/or RUS, the MWs from each limited by the resource’s ramp rate</w:t>
      </w:r>
      <w:r w:rsidR="009D1615">
        <w:t>.</w:t>
      </w:r>
      <w:r w:rsidR="00FD1439">
        <w:t xml:space="preserve"> Lower value </w:t>
      </w:r>
      <w:r w:rsidR="00D552B5">
        <w:t xml:space="preserve">AS – </w:t>
      </w:r>
      <w:r w:rsidR="00270EEF">
        <w:t xml:space="preserve">On-line </w:t>
      </w:r>
      <w:r w:rsidR="00D552B5">
        <w:t xml:space="preserve">NSRS and </w:t>
      </w:r>
      <w:r w:rsidR="000F0667">
        <w:t xml:space="preserve">non-frequency responsive </w:t>
      </w:r>
      <w:r w:rsidR="00D552B5">
        <w:t xml:space="preserve">ECSR </w:t>
      </w:r>
      <w:r w:rsidR="00270EEF">
        <w:t>–</w:t>
      </w:r>
      <w:r w:rsidR="00D552B5">
        <w:t xml:space="preserve"> </w:t>
      </w:r>
      <w:r w:rsidR="00270EEF">
        <w:t xml:space="preserve">that are </w:t>
      </w:r>
      <w:r w:rsidR="00260680">
        <w:t xml:space="preserve">not deployed by LFC </w:t>
      </w:r>
      <w:r w:rsidR="00AE6AD5">
        <w:t>are rea</w:t>
      </w:r>
      <w:r w:rsidR="00672962">
        <w:t>lly there to provide scarcity price signals</w:t>
      </w:r>
      <w:r w:rsidR="00A00047">
        <w:t xml:space="preserve"> and thus should be sacrificed first before </w:t>
      </w:r>
      <w:r w:rsidR="00D7335F">
        <w:t>the critical AS (RUS and RRS) are sacrifi</w:t>
      </w:r>
      <w:r w:rsidR="00447362">
        <w:t>ced by RTC.</w:t>
      </w:r>
      <w:bookmarkStart w:id="1" w:name="_GoBack"/>
      <w:bookmarkEnd w:id="1"/>
    </w:p>
    <w:p w14:paraId="432655F1" w14:textId="4B5032D9" w:rsidR="002B50FE" w:rsidRPr="009547C8" w:rsidRDefault="002B50FE" w:rsidP="005030AE">
      <w:pPr>
        <w:rPr>
          <w:b/>
          <w:bCs/>
        </w:rPr>
      </w:pPr>
      <w:r w:rsidRPr="009547C8">
        <w:rPr>
          <w:b/>
          <w:bCs/>
        </w:rPr>
        <w:t xml:space="preserve">Recommendation 2: </w:t>
      </w:r>
      <w:r w:rsidR="00A0524E" w:rsidRPr="009547C8">
        <w:rPr>
          <w:b/>
          <w:bCs/>
        </w:rPr>
        <w:t xml:space="preserve">Have only one NSRS product for both RTM and DAM (current ORDC </w:t>
      </w:r>
      <w:r w:rsidR="00405461" w:rsidRPr="009547C8">
        <w:rPr>
          <w:b/>
          <w:bCs/>
        </w:rPr>
        <w:t>values online capacity and offline capacity differently in RTM)</w:t>
      </w:r>
    </w:p>
    <w:p w14:paraId="5EBB9808" w14:textId="19F9CC0D" w:rsidR="00405461" w:rsidRPr="009547C8" w:rsidRDefault="00405461" w:rsidP="005030AE">
      <w:pPr>
        <w:rPr>
          <w:b/>
          <w:bCs/>
        </w:rPr>
      </w:pPr>
      <w:r w:rsidRPr="009547C8">
        <w:rPr>
          <w:b/>
          <w:bCs/>
        </w:rPr>
        <w:t xml:space="preserve">Recommendation 3: </w:t>
      </w:r>
      <w:r w:rsidR="003D4784" w:rsidRPr="009547C8">
        <w:rPr>
          <w:b/>
          <w:bCs/>
        </w:rPr>
        <w:t xml:space="preserve">Allow higher value </w:t>
      </w:r>
      <w:r w:rsidR="0035376C" w:rsidRPr="009547C8">
        <w:rPr>
          <w:b/>
          <w:bCs/>
        </w:rPr>
        <w:t>AS to meet lower value AS requirements if it’s offered at a lower price</w:t>
      </w:r>
      <w:r w:rsidR="000A3F6C" w:rsidRPr="009547C8">
        <w:rPr>
          <w:b/>
          <w:bCs/>
        </w:rPr>
        <w:t xml:space="preserve"> – this results in the curve being divided as depicted above</w:t>
      </w:r>
      <w:r w:rsidR="009E2DF9" w:rsidRPr="009547C8">
        <w:rPr>
          <w:b/>
          <w:bCs/>
        </w:rPr>
        <w:t>: RUS, RRS, RUS+RRS+ECRS, and RUS+RRS+ECRS+NSRS</w:t>
      </w:r>
      <w:r w:rsidR="009547C8" w:rsidRPr="009547C8">
        <w:rPr>
          <w:b/>
          <w:bCs/>
        </w:rPr>
        <w:t>.</w:t>
      </w:r>
    </w:p>
    <w:p w14:paraId="685C8FBB" w14:textId="49F77DAA" w:rsidR="005030AE" w:rsidRDefault="005030AE" w:rsidP="005030AE">
      <w:r>
        <w:t>Concept of this ASDC is similar to today’s ORDC where Online Non-Spin demand curve overlaps with Off-line Non-Spin</w:t>
      </w:r>
      <w:r w:rsidR="00272C4C">
        <w:t xml:space="preserve"> with On</w:t>
      </w:r>
      <w:r w:rsidR="00F14960">
        <w:t xml:space="preserve">line NSRS able to satisfy the demand curve for both Online and Offline NSRS whereas Offline NSRS </w:t>
      </w:r>
      <w:r w:rsidR="001B31E1">
        <w:t>is considered a lower value product</w:t>
      </w:r>
      <w:r>
        <w:t>. The benefits of this approach are:</w:t>
      </w:r>
    </w:p>
    <w:p w14:paraId="3E264D86" w14:textId="37EB894E" w:rsidR="005030AE" w:rsidRDefault="005030AE" w:rsidP="00066407">
      <w:pPr>
        <w:pStyle w:val="ListParagraph"/>
        <w:numPr>
          <w:ilvl w:val="0"/>
          <w:numId w:val="1"/>
        </w:numPr>
      </w:pPr>
      <w:r>
        <w:t xml:space="preserve">If a higher </w:t>
      </w:r>
      <w:r w:rsidR="00C927FD">
        <w:t>value</w:t>
      </w:r>
      <w:r>
        <w:t xml:space="preserve"> service is offered at a lower price than the lower value, then RTC will procure that higher value service and have more of that higher value service. </w:t>
      </w:r>
      <w:r w:rsidR="00C927FD">
        <w:t>This will ensure that higher value reserves have a higher MCPC than a lower value service (i.e. greater efficiency) while providing the system with greater reliability.</w:t>
      </w:r>
    </w:p>
    <w:p w14:paraId="597A732B" w14:textId="7DB55DE0" w:rsidR="00C927FD" w:rsidRDefault="00C927FD" w:rsidP="00066407">
      <w:pPr>
        <w:pStyle w:val="ListParagraph"/>
        <w:numPr>
          <w:ilvl w:val="0"/>
          <w:numId w:val="1"/>
        </w:numPr>
      </w:pPr>
      <w:r>
        <w:t xml:space="preserve">All reserves now have true demand curves that are </w:t>
      </w:r>
      <w:r w:rsidR="00E858D2">
        <w:t xml:space="preserve">not </w:t>
      </w:r>
      <w:r>
        <w:t xml:space="preserve">artificially truncated. There’s always additional reliability value of having more of any one reserve (it’s ludicrous and against reliability and economic reasoning to say the </w:t>
      </w:r>
      <w:r>
        <w:lastRenderedPageBreak/>
        <w:t>system needs exactly 300MW of RUS or 2300MW of RRS and the next MW of these services is worthless). These ASDCs reflect that fact.</w:t>
      </w:r>
    </w:p>
    <w:p w14:paraId="08ABAC4F" w14:textId="543F9EE0" w:rsidR="00C927FD" w:rsidRPr="005030AE" w:rsidRDefault="00C927FD" w:rsidP="00C927FD">
      <w:r>
        <w:t>Let’s look at an example of only two AS products (RUS and ECRS) assuming rectangular ASDCs for each for simplicity</w:t>
      </w:r>
      <w:r w:rsidR="00672BA9">
        <w:t xml:space="preserve"> at $9000/MW/hr for 1000MW and $</w:t>
      </w:r>
      <w:r w:rsidR="00C3214E">
        <w:t>2</w:t>
      </w:r>
      <w:r w:rsidR="00672BA9">
        <w:t>000/MW/hr for 2000MW</w:t>
      </w:r>
      <w:r>
        <w:t>.</w:t>
      </w:r>
    </w:p>
    <w:p w14:paraId="5409D749" w14:textId="125F0C8D" w:rsidR="00337C47" w:rsidRDefault="00337C47" w:rsidP="00337C47">
      <w:pPr>
        <w:pStyle w:val="Heading2"/>
      </w:pPr>
      <w:r>
        <w:t>RTC optimization Objective</w:t>
      </w:r>
      <w:bookmarkEnd w:id="0"/>
    </w:p>
    <w:p w14:paraId="1894F10D" w14:textId="5A42C28C" w:rsidR="00337C47" w:rsidRDefault="00337C47" w:rsidP="00337C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Maximize bid based costs (energy bids and AS Demand Curves) minus offer based revenue (energy offer</w:t>
      </w:r>
      <w:r w:rsidR="00725799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and AS offers)</w:t>
      </w:r>
    </w:p>
    <w:p w14:paraId="6317C8FB" w14:textId="4C4D5A22" w:rsidR="000A7125" w:rsidRPr="00E06DA2" w:rsidRDefault="000A7125" w:rsidP="000A712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Min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C(MW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Energy</m:t>
                  </m:r>
                </m:sup>
              </m:sSubSup>
            </m:e>
          </m:nary>
          <m:r>
            <w:rPr>
              <w:rFonts w:ascii="Cambria Math" w:hAnsi="Cambria Math"/>
            </w:rPr>
            <m:t>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Cr(MW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RUS</m:t>
                  </m:r>
                </m:sup>
              </m:sSubSup>
            </m:e>
          </m:nary>
          <m:r>
            <w:rPr>
              <w:rFonts w:ascii="Cambria Math" w:hAnsi="Cambria Math"/>
            </w:rPr>
            <m:t>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Ce(MW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ECRS</m:t>
                  </m:r>
                </m:sup>
              </m:sSubSup>
            </m:e>
          </m:nary>
          <m:r>
            <w:rPr>
              <w:rFonts w:ascii="Cambria Math" w:hAnsi="Cambria Math"/>
            </w:rPr>
            <m:t>)+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Dr(MW</m:t>
              </m:r>
            </m:e>
            <m:sub/>
            <m:sup>
              <m:r>
                <w:rPr>
                  <w:rFonts w:ascii="Cambria Math" w:hAnsi="Cambria Math"/>
                </w:rPr>
                <m:t>RUSShort</m:t>
              </m:r>
            </m:sup>
          </m:sSubSup>
          <m:r>
            <w:rPr>
              <w:rFonts w:ascii="Cambria Math" w:hAnsi="Cambria Math"/>
            </w:rPr>
            <m:t>)+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De(MW</m:t>
              </m:r>
            </m:e>
            <m:sub/>
            <m:sup>
              <m:r>
                <w:rPr>
                  <w:rFonts w:ascii="Cambria Math" w:hAnsi="Cambria Math"/>
                </w:rPr>
                <m:t>ECRSShort</m:t>
              </m:r>
            </m:sup>
          </m:sSubSup>
          <m:r>
            <w:rPr>
              <w:rFonts w:ascii="Cambria Math" w:hAnsi="Cambria Math"/>
            </w:rPr>
            <m:t>)</m:t>
          </m:r>
        </m:oMath>
      </m:oMathPara>
    </w:p>
    <w:p w14:paraId="4E2E58F7" w14:textId="60A0634E" w:rsidR="000A7125" w:rsidRDefault="000A7125" w:rsidP="00337C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Where </w:t>
      </w:r>
      <w:r w:rsidRPr="00672BA9">
        <w:rPr>
          <w:rFonts w:ascii="Times New Roman" w:hAnsi="Times New Roman" w:cs="Times New Roman"/>
          <w:i/>
          <w:iCs/>
          <w:sz w:val="24"/>
        </w:rPr>
        <w:t>Dr</w:t>
      </w:r>
      <w:r w:rsidR="00672BA9">
        <w:rPr>
          <w:rFonts w:ascii="Times New Roman" w:hAnsi="Times New Roman" w:cs="Times New Roman"/>
          <w:sz w:val="24"/>
        </w:rPr>
        <w:t xml:space="preserve"> = $9000/MW/hr and </w:t>
      </w:r>
      <w:r w:rsidR="00672BA9" w:rsidRPr="00672BA9">
        <w:rPr>
          <w:rFonts w:ascii="Times New Roman" w:hAnsi="Times New Roman" w:cs="Times New Roman"/>
          <w:i/>
          <w:iCs/>
          <w:sz w:val="24"/>
        </w:rPr>
        <w:t>De</w:t>
      </w:r>
      <w:r w:rsidR="00672BA9">
        <w:rPr>
          <w:rFonts w:ascii="Times New Roman" w:hAnsi="Times New Roman" w:cs="Times New Roman"/>
          <w:sz w:val="24"/>
        </w:rPr>
        <w:t xml:space="preserve"> = $</w:t>
      </w:r>
      <w:r w:rsidR="00C3214E">
        <w:rPr>
          <w:rFonts w:ascii="Times New Roman" w:hAnsi="Times New Roman" w:cs="Times New Roman"/>
          <w:sz w:val="24"/>
        </w:rPr>
        <w:t>2</w:t>
      </w:r>
      <w:r w:rsidR="00672BA9">
        <w:rPr>
          <w:rFonts w:ascii="Times New Roman" w:hAnsi="Times New Roman" w:cs="Times New Roman"/>
          <w:sz w:val="24"/>
        </w:rPr>
        <w:t>000/MW/hr (say).</w:t>
      </w:r>
    </w:p>
    <w:p w14:paraId="2E9E150E" w14:textId="4728CE0E" w:rsidR="00337C47" w:rsidRDefault="00337C47" w:rsidP="00337C47">
      <w:pPr>
        <w:pStyle w:val="Heading2"/>
      </w:pPr>
      <w:bookmarkStart w:id="2" w:name="_Toc16064945"/>
      <w:r w:rsidRPr="00316CFA">
        <w:t>Power Balance Constraint</w:t>
      </w:r>
      <w:bookmarkEnd w:id="2"/>
      <w:r w:rsidR="00672BA9">
        <w:t xml:space="preserve"> (the usual)</w:t>
      </w:r>
    </w:p>
    <w:p w14:paraId="567CA095" w14:textId="77777777" w:rsidR="00C06511" w:rsidRDefault="00C06511" w:rsidP="0041324F">
      <w:pPr>
        <w:pStyle w:val="Heading2"/>
      </w:pPr>
      <w:bookmarkStart w:id="3" w:name="_Toc16064946"/>
      <w:r>
        <w:t>System-Wide Regulation Up Procurement Constraint</w:t>
      </w:r>
      <w:bookmarkEnd w:id="3"/>
    </w:p>
    <w:p w14:paraId="062951D5" w14:textId="392FA037" w:rsidR="00C06511" w:rsidRPr="00C06511" w:rsidRDefault="00447362" w:rsidP="00C06511">
      <w:pPr>
        <w:rPr>
          <w:rFonts w:eastAsiaTheme="minorEastAsia"/>
        </w:rPr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RUS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/>
            <m:sup>
              <m:r>
                <w:rPr>
                  <w:rFonts w:ascii="Cambria Math" w:hAnsi="Cambria Math"/>
                </w:rPr>
                <m:t>RUSShort</m:t>
              </m:r>
            </m:sup>
          </m:sSubSup>
          <m:r>
            <w:rPr>
              <w:rFonts w:ascii="Cambria Math" w:hAnsi="Cambria Math"/>
            </w:rPr>
            <m:t>≥1000</m:t>
          </m:r>
        </m:oMath>
      </m:oMathPara>
    </w:p>
    <w:p w14:paraId="587019A4" w14:textId="534D7D7C" w:rsidR="00C06511" w:rsidRDefault="00C06511" w:rsidP="0041324F">
      <w:pPr>
        <w:pStyle w:val="Heading2"/>
      </w:pPr>
      <w:bookmarkStart w:id="4" w:name="_Toc16064947"/>
      <w:r>
        <w:t xml:space="preserve">System-Wide </w:t>
      </w:r>
      <w:r w:rsidR="00672BA9">
        <w:t>RUS and ECRS</w:t>
      </w:r>
      <w:r>
        <w:t xml:space="preserve"> Procurement Constraint</w:t>
      </w:r>
      <w:bookmarkEnd w:id="4"/>
    </w:p>
    <w:p w14:paraId="5F948EDB" w14:textId="3578D187" w:rsidR="00C06511" w:rsidRPr="00C06511" w:rsidRDefault="00447362" w:rsidP="00C06511">
      <w:pPr>
        <w:ind w:left="360"/>
        <w:rPr>
          <w:rFonts w:eastAsiaTheme="minorEastAsia"/>
        </w:rPr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RUS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ECRS</m:t>
                  </m:r>
                </m:sup>
              </m:sSubSup>
            </m:e>
          </m:nary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/>
            <m:sup>
              <m:r>
                <w:rPr>
                  <w:rFonts w:ascii="Cambria Math" w:hAnsi="Cambria Math"/>
                </w:rPr>
                <m:t>RUSShort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MW</m:t>
              </m:r>
            </m:e>
            <m:sub/>
            <m:sup>
              <m:r>
                <w:rPr>
                  <w:rFonts w:ascii="Cambria Math" w:hAnsi="Cambria Math"/>
                </w:rPr>
                <m:t>ECRSShort</m:t>
              </m:r>
            </m:sup>
          </m:sSubSup>
          <m:r>
            <w:rPr>
              <w:rFonts w:ascii="Cambria Math" w:hAnsi="Cambria Math"/>
            </w:rPr>
            <m:t>≥3000</m:t>
          </m:r>
        </m:oMath>
      </m:oMathPara>
    </w:p>
    <w:p w14:paraId="2D3A8689" w14:textId="5A6C84F9" w:rsidR="00333B35" w:rsidRDefault="00333B35" w:rsidP="00333B35">
      <w:pPr>
        <w:pStyle w:val="Heading2"/>
      </w:pPr>
      <w:r>
        <w:t>Lagrangian:</w:t>
      </w:r>
    </w:p>
    <w:p w14:paraId="1B60C9CD" w14:textId="7F5DAD7A" w:rsidR="00333B35" w:rsidRPr="00E06DA2" w:rsidRDefault="00333B35" w:rsidP="00333B3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C(MW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Energy</m:t>
                  </m:r>
                </m:sup>
              </m:sSubSup>
            </m:e>
          </m:nary>
          <m:r>
            <w:rPr>
              <w:rFonts w:ascii="Cambria Math" w:hAnsi="Cambria Math"/>
            </w:rPr>
            <m:t>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Cr(MW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RUS</m:t>
                  </m:r>
                </m:sup>
              </m:sSubSup>
            </m:e>
          </m:nary>
          <m:r>
            <w:rPr>
              <w:rFonts w:ascii="Cambria Math" w:hAnsi="Cambria Math"/>
            </w:rPr>
            <m:t>)+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Ng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Ce(MW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ECRS</m:t>
                  </m:r>
                </m:sup>
              </m:sSubSup>
            </m:e>
          </m:nary>
          <m:r>
            <w:rPr>
              <w:rFonts w:ascii="Cambria Math" w:hAnsi="Cambria Math"/>
            </w:rPr>
            <m:t>)+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Dr(MW</m:t>
              </m:r>
            </m:e>
            <m:sub/>
            <m:sup>
              <m:r>
                <w:rPr>
                  <w:rFonts w:ascii="Cambria Math" w:hAnsi="Cambria Math"/>
                </w:rPr>
                <m:t>RUSShort</m:t>
              </m:r>
            </m:sup>
          </m:sSubSup>
          <m:r>
            <w:rPr>
              <w:rFonts w:ascii="Cambria Math" w:hAnsi="Cambria Math"/>
            </w:rPr>
            <m:t>)+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De(MW</m:t>
              </m:r>
            </m:e>
            <m:sub/>
            <m:sup>
              <m:r>
                <w:rPr>
                  <w:rFonts w:ascii="Cambria Math" w:hAnsi="Cambria Math"/>
                </w:rPr>
                <m:t>ECRSShort</m:t>
              </m:r>
            </m:sup>
          </m:sSubSup>
          <m:r>
            <w:rPr>
              <w:rFonts w:ascii="Cambria Math" w:hAnsi="Cambria Math"/>
            </w:rPr>
            <m:t>)</m:t>
          </m:r>
        </m:oMath>
      </m:oMathPara>
    </w:p>
    <w:p w14:paraId="1971934A" w14:textId="770AFA89" w:rsidR="00333B35" w:rsidRPr="00066407" w:rsidRDefault="001A5085" w:rsidP="00066407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066407">
        <w:rPr>
          <w:rFonts w:ascii="Times New Roman" w:hAnsi="Times New Roman"/>
          <w:sz w:val="40"/>
          <w:szCs w:val="36"/>
        </w:rPr>
        <w:t>λ</w:t>
      </w:r>
      <w:r w:rsidR="00826666" w:rsidRPr="00066407">
        <w:rPr>
          <w:rFonts w:ascii="Times New Roman" w:hAnsi="Times New Roman"/>
          <w:sz w:val="40"/>
          <w:szCs w:val="36"/>
          <w:vertAlign w:val="subscript"/>
        </w:rPr>
        <w:t>r</w:t>
      </w:r>
      <w:r w:rsidR="00826666" w:rsidRPr="00066407">
        <w:rPr>
          <w:rFonts w:ascii="Times New Roman" w:hAnsi="Times New Roman"/>
          <w:sz w:val="40"/>
          <w:szCs w:val="36"/>
        </w:rPr>
        <w:t xml:space="preserve"> </w:t>
      </w:r>
      <w:r w:rsidR="00636842" w:rsidRPr="00066407">
        <w:rPr>
          <w:rFonts w:ascii="Times New Roman" w:hAnsi="Times New Roman"/>
          <w:sz w:val="40"/>
          <w:szCs w:val="36"/>
        </w:rPr>
        <w:t>[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Ng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MW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RUS</m:t>
                </m:r>
              </m:sup>
            </m:sSubSup>
          </m:e>
        </m:nary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/>
          <m:sup>
            <m:r>
              <w:rPr>
                <w:rFonts w:ascii="Cambria Math" w:hAnsi="Cambria Math"/>
              </w:rPr>
              <m:t>RUSShort</m:t>
            </m:r>
          </m:sup>
        </m:sSubSup>
        <m:r>
          <w:rPr>
            <w:rFonts w:ascii="Cambria Math" w:hAnsi="Cambria Math"/>
          </w:rPr>
          <m:t>-1000</m:t>
        </m:r>
      </m:oMath>
      <w:r w:rsidR="00636842" w:rsidRPr="00066407">
        <w:rPr>
          <w:rFonts w:ascii="Times New Roman" w:hAnsi="Times New Roman"/>
          <w:sz w:val="40"/>
          <w:szCs w:val="36"/>
        </w:rPr>
        <w:t xml:space="preserve">] </w:t>
      </w:r>
      <w:r w:rsidR="00D843A4" w:rsidRPr="00066407">
        <w:rPr>
          <w:rFonts w:ascii="Times New Roman" w:hAnsi="Times New Roman"/>
          <w:sz w:val="40"/>
          <w:szCs w:val="36"/>
        </w:rPr>
        <w:t>– λ</w:t>
      </w:r>
      <w:r w:rsidR="00D843A4" w:rsidRPr="00066407">
        <w:rPr>
          <w:rFonts w:ascii="Times New Roman" w:hAnsi="Times New Roman"/>
          <w:sz w:val="40"/>
          <w:szCs w:val="36"/>
          <w:vertAlign w:val="subscript"/>
        </w:rPr>
        <w:t>e</w:t>
      </w:r>
      <w:r w:rsidR="00D843A4" w:rsidRPr="00066407">
        <w:rPr>
          <w:rFonts w:ascii="Times New Roman" w:hAnsi="Times New Roman"/>
          <w:sz w:val="40"/>
          <w:szCs w:val="36"/>
        </w:rPr>
        <w:t xml:space="preserve"> </w:t>
      </w:r>
      <w:r w:rsidR="00636842" w:rsidRPr="00066407">
        <w:rPr>
          <w:rFonts w:ascii="Times New Roman" w:hAnsi="Times New Roman"/>
          <w:sz w:val="40"/>
          <w:szCs w:val="36"/>
        </w:rPr>
        <w:t>[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Ng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MW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RUS</m:t>
                </m:r>
              </m:sup>
            </m:sSubSup>
          </m:e>
        </m:nary>
        <m:r>
          <w:rPr>
            <w:rFonts w:ascii="Cambria Math" w:hAnsi="Cambria Math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Ng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MW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ECRS</m:t>
                </m:r>
              </m:sup>
            </m:sSubSup>
          </m:e>
        </m:nary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/>
          <m:sup>
            <m:r>
              <w:rPr>
                <w:rFonts w:ascii="Cambria Math" w:hAnsi="Cambria Math"/>
              </w:rPr>
              <m:t>RUSShort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MW</m:t>
            </m:r>
          </m:e>
          <m:sub/>
          <m:sup>
            <m:r>
              <w:rPr>
                <w:rFonts w:ascii="Cambria Math" w:hAnsi="Cambria Math"/>
              </w:rPr>
              <m:t>ECRSShort</m:t>
            </m:r>
          </m:sup>
        </m:sSubSup>
        <m:r>
          <w:rPr>
            <w:rFonts w:ascii="Cambria Math" w:hAnsi="Cambria Math"/>
          </w:rPr>
          <m:t>-3000</m:t>
        </m:r>
      </m:oMath>
      <w:r w:rsidR="00636842" w:rsidRPr="00066407">
        <w:rPr>
          <w:rFonts w:ascii="Times New Roman" w:hAnsi="Times New Roman"/>
          <w:sz w:val="40"/>
          <w:szCs w:val="36"/>
        </w:rPr>
        <w:t>]</w:t>
      </w:r>
    </w:p>
    <w:p w14:paraId="352C49C9" w14:textId="0F8A97C1" w:rsidR="00333B35" w:rsidRDefault="004F7772" w:rsidP="00333B35">
      <w:pPr>
        <w:rPr>
          <w:rFonts w:eastAsiaTheme="minorEastAsia"/>
        </w:rPr>
      </w:pPr>
      <w:r>
        <w:rPr>
          <w:rFonts w:eastAsiaTheme="minorEastAsia"/>
        </w:rPr>
        <w:t>Then,</w:t>
      </w:r>
    </w:p>
    <w:p w14:paraId="52EC8EBE" w14:textId="580503CF" w:rsidR="004F7772" w:rsidRPr="004F7772" w:rsidRDefault="004F7772" w:rsidP="00333B35">
      <w:pPr>
        <w:rPr>
          <w:rFonts w:eastAsiaTheme="minorEastAsia"/>
          <w:sz w:val="24"/>
          <w:szCs w:val="24"/>
        </w:rPr>
      </w:pPr>
      <w:r w:rsidRPr="004F7772">
        <w:rPr>
          <w:rFonts w:eastAsiaTheme="minorEastAsia"/>
          <w:sz w:val="24"/>
          <w:szCs w:val="24"/>
        </w:rPr>
        <w:t xml:space="preserve">MCPC for ECRS = </w:t>
      </w:r>
      <w:r w:rsidRPr="004F7772">
        <w:rPr>
          <w:rFonts w:ascii="Times New Roman" w:hAnsi="Times New Roman"/>
          <w:sz w:val="24"/>
          <w:szCs w:val="24"/>
        </w:rPr>
        <w:t>λ</w:t>
      </w:r>
      <w:r w:rsidRPr="004F7772">
        <w:rPr>
          <w:rFonts w:ascii="Times New Roman" w:hAnsi="Times New Roman"/>
          <w:sz w:val="24"/>
          <w:szCs w:val="24"/>
          <w:vertAlign w:val="subscript"/>
        </w:rPr>
        <w:t>e</w:t>
      </w:r>
    </w:p>
    <w:p w14:paraId="40700A3E" w14:textId="7B3FF7E1" w:rsidR="004F7772" w:rsidRPr="004F7772" w:rsidRDefault="004F7772" w:rsidP="004F7772">
      <w:pPr>
        <w:rPr>
          <w:rFonts w:eastAsiaTheme="minorEastAsia"/>
          <w:sz w:val="24"/>
          <w:szCs w:val="24"/>
        </w:rPr>
      </w:pPr>
      <w:r w:rsidRPr="004F7772">
        <w:rPr>
          <w:rFonts w:eastAsiaTheme="minorEastAsia"/>
          <w:sz w:val="24"/>
          <w:szCs w:val="24"/>
        </w:rPr>
        <w:t xml:space="preserve">MCPC for </w:t>
      </w:r>
      <w:r w:rsidR="00872EA3">
        <w:rPr>
          <w:rFonts w:eastAsiaTheme="minorEastAsia"/>
          <w:sz w:val="24"/>
          <w:szCs w:val="24"/>
        </w:rPr>
        <w:t>RU</w:t>
      </w:r>
      <w:r w:rsidRPr="004F7772">
        <w:rPr>
          <w:rFonts w:eastAsiaTheme="minorEastAsia"/>
          <w:sz w:val="24"/>
          <w:szCs w:val="24"/>
        </w:rPr>
        <w:t xml:space="preserve">S = </w:t>
      </w:r>
      <w:r w:rsidRPr="004F7772">
        <w:rPr>
          <w:rFonts w:ascii="Times New Roman" w:hAnsi="Times New Roman"/>
          <w:sz w:val="24"/>
          <w:szCs w:val="24"/>
        </w:rPr>
        <w:t>λ</w:t>
      </w:r>
      <w:r>
        <w:rPr>
          <w:rFonts w:ascii="Times New Roman" w:hAnsi="Times New Roman"/>
          <w:sz w:val="24"/>
          <w:szCs w:val="24"/>
          <w:vertAlign w:val="subscript"/>
        </w:rPr>
        <w:t>r</w:t>
      </w:r>
      <w:r w:rsidRPr="004F7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</w:t>
      </w:r>
      <w:r w:rsidRPr="004F7772">
        <w:rPr>
          <w:rFonts w:ascii="Times New Roman" w:hAnsi="Times New Roman"/>
          <w:sz w:val="24"/>
          <w:szCs w:val="24"/>
        </w:rPr>
        <w:t>λ</w:t>
      </w:r>
      <w:r w:rsidRPr="004F7772">
        <w:rPr>
          <w:rFonts w:ascii="Times New Roman" w:hAnsi="Times New Roman"/>
          <w:sz w:val="24"/>
          <w:szCs w:val="24"/>
          <w:vertAlign w:val="subscript"/>
        </w:rPr>
        <w:t>e</w:t>
      </w:r>
    </w:p>
    <w:p w14:paraId="40377C75" w14:textId="3C5510B5" w:rsidR="00337C47" w:rsidRDefault="00DB6E12">
      <w:pPr>
        <w:rPr>
          <w:b/>
          <w:bCs/>
        </w:rPr>
      </w:pPr>
      <w:r w:rsidRPr="006D2828">
        <w:rPr>
          <w:b/>
          <w:bCs/>
        </w:rPr>
        <w:t xml:space="preserve">Recommendation 4: </w:t>
      </w:r>
      <w:r w:rsidR="00020BE2" w:rsidRPr="006D2828">
        <w:rPr>
          <w:b/>
          <w:bCs/>
        </w:rPr>
        <w:t>Use the same ASDCs in DAM as in SCED</w:t>
      </w:r>
      <w:r w:rsidR="006D2828" w:rsidRPr="006D2828">
        <w:rPr>
          <w:b/>
          <w:bCs/>
        </w:rPr>
        <w:t>.</w:t>
      </w:r>
      <w:r w:rsidR="00CE6354">
        <w:rPr>
          <w:b/>
          <w:bCs/>
        </w:rPr>
        <w:t xml:space="preserve"> </w:t>
      </w:r>
      <w:r w:rsidR="00675775">
        <w:rPr>
          <w:b/>
          <w:bCs/>
        </w:rPr>
        <w:t>This will better reflect a willing buyer and lead to better price convergence between DAM and RTM</w:t>
      </w:r>
      <w:r w:rsidR="00D30384">
        <w:rPr>
          <w:b/>
          <w:bCs/>
        </w:rPr>
        <w:t>.</w:t>
      </w:r>
    </w:p>
    <w:p w14:paraId="496934C1" w14:textId="6BC06D85" w:rsidR="00D30384" w:rsidRDefault="00D30384">
      <w:pPr>
        <w:rPr>
          <w:b/>
          <w:bCs/>
        </w:rPr>
      </w:pPr>
      <w:r>
        <w:rPr>
          <w:b/>
          <w:bCs/>
        </w:rPr>
        <w:t xml:space="preserve">Recommendation 5: </w:t>
      </w:r>
      <w:r w:rsidR="001E5ED3">
        <w:rPr>
          <w:b/>
          <w:bCs/>
        </w:rPr>
        <w:t>Cap</w:t>
      </w:r>
      <w:r w:rsidR="00D2462E">
        <w:rPr>
          <w:b/>
          <w:bCs/>
        </w:rPr>
        <w:t xml:space="preserve"> prices </w:t>
      </w:r>
      <w:r w:rsidR="005D5D2E">
        <w:rPr>
          <w:b/>
          <w:bCs/>
        </w:rPr>
        <w:t xml:space="preserve">in RTM and DAM </w:t>
      </w:r>
      <w:r w:rsidR="00F3488C">
        <w:rPr>
          <w:b/>
          <w:bCs/>
        </w:rPr>
        <w:t xml:space="preserve">for energy (excluding congestion) and AS </w:t>
      </w:r>
      <w:r w:rsidR="004B1092">
        <w:rPr>
          <w:b/>
          <w:bCs/>
        </w:rPr>
        <w:t xml:space="preserve">products </w:t>
      </w:r>
      <w:r w:rsidR="00513729">
        <w:rPr>
          <w:b/>
          <w:bCs/>
        </w:rPr>
        <w:t xml:space="preserve">at </w:t>
      </w:r>
      <w:r w:rsidR="004B1092">
        <w:rPr>
          <w:b/>
          <w:bCs/>
        </w:rPr>
        <w:t xml:space="preserve">$9,000/MWh </w:t>
      </w:r>
      <w:r w:rsidR="00D720F5">
        <w:rPr>
          <w:b/>
          <w:bCs/>
        </w:rPr>
        <w:t>(instead of trying to ensure indifference which could result in</w:t>
      </w:r>
      <w:r w:rsidR="00B0799B">
        <w:rPr>
          <w:b/>
          <w:bCs/>
        </w:rPr>
        <w:t xml:space="preserve"> </w:t>
      </w:r>
      <w:r w:rsidR="005D5D2E">
        <w:rPr>
          <w:b/>
          <w:bCs/>
        </w:rPr>
        <w:t>artificially low prices).</w:t>
      </w:r>
    </w:p>
    <w:p w14:paraId="6FD904BA" w14:textId="3D45F536" w:rsidR="005D5D2E" w:rsidRDefault="005D5D2E">
      <w:pPr>
        <w:rPr>
          <w:b/>
          <w:bCs/>
        </w:rPr>
      </w:pPr>
      <w:r>
        <w:rPr>
          <w:b/>
          <w:bCs/>
        </w:rPr>
        <w:t xml:space="preserve">Recommendation 6: </w:t>
      </w:r>
      <w:r w:rsidR="000137A2">
        <w:rPr>
          <w:b/>
          <w:bCs/>
        </w:rPr>
        <w:t>Set the SWOC for DAM at $9,000/MWh</w:t>
      </w:r>
      <w:r w:rsidR="00937B55">
        <w:rPr>
          <w:b/>
          <w:bCs/>
        </w:rPr>
        <w:t xml:space="preserve"> (may require clarification from PUCT)</w:t>
      </w:r>
      <w:r w:rsidR="000137A2">
        <w:rPr>
          <w:b/>
          <w:bCs/>
        </w:rPr>
        <w:t xml:space="preserve">. </w:t>
      </w:r>
      <w:r w:rsidR="000137A2" w:rsidRPr="008C148E">
        <w:t>With RTM prices for energy and AS being able</w:t>
      </w:r>
      <w:r w:rsidR="00937B55" w:rsidRPr="008C148E">
        <w:t xml:space="preserve"> to reach $9,000/MWh, </w:t>
      </w:r>
      <w:r w:rsidR="00015E5F" w:rsidRPr="008C148E">
        <w:t>physical</w:t>
      </w:r>
      <w:r w:rsidR="00D94C46" w:rsidRPr="008C148E">
        <w:t xml:space="preserve"> </w:t>
      </w:r>
      <w:r w:rsidR="00A036E9" w:rsidRPr="008C148E">
        <w:t xml:space="preserve">and financial players </w:t>
      </w:r>
      <w:r w:rsidR="00D94C46" w:rsidRPr="008C148E">
        <w:t xml:space="preserve">in DAM need to be able to </w:t>
      </w:r>
      <w:r w:rsidR="00A036E9" w:rsidRPr="008C148E">
        <w:t>reflect their willing to sell price in DAM.</w:t>
      </w:r>
    </w:p>
    <w:p w14:paraId="65F6BBB7" w14:textId="77777777" w:rsidR="00B065AA" w:rsidRDefault="00731132">
      <w:pPr>
        <w:rPr>
          <w:b/>
          <w:bCs/>
        </w:rPr>
      </w:pPr>
      <w:r>
        <w:rPr>
          <w:b/>
          <w:bCs/>
        </w:rPr>
        <w:t xml:space="preserve">Recommendation 7: </w:t>
      </w:r>
      <w:r w:rsidR="00072994">
        <w:rPr>
          <w:b/>
          <w:bCs/>
        </w:rPr>
        <w:t xml:space="preserve">Provide credit to </w:t>
      </w:r>
      <w:r w:rsidR="00AA05B5">
        <w:rPr>
          <w:b/>
          <w:bCs/>
        </w:rPr>
        <w:t xml:space="preserve">Load Resources for RRS </w:t>
      </w:r>
      <w:r w:rsidR="00CA440A">
        <w:rPr>
          <w:b/>
          <w:bCs/>
        </w:rPr>
        <w:t xml:space="preserve">or ECRS </w:t>
      </w:r>
      <w:r w:rsidR="00CB7DC9">
        <w:rPr>
          <w:b/>
          <w:bCs/>
        </w:rPr>
        <w:t xml:space="preserve">when deployed. </w:t>
      </w:r>
    </w:p>
    <w:p w14:paraId="0EA12D9C" w14:textId="23ADE925" w:rsidR="00A036E9" w:rsidRDefault="00A462B4">
      <w:r w:rsidRPr="00B065AA">
        <w:t xml:space="preserve">Currently, ERCOT does not </w:t>
      </w:r>
      <w:r w:rsidR="00220D2E" w:rsidRPr="00B065AA">
        <w:t>conduct a SASM every time LRs are deployed to re-procure RRS</w:t>
      </w:r>
      <w:r w:rsidR="008340CF" w:rsidRPr="00B065AA">
        <w:t xml:space="preserve"> and the ORDC adder </w:t>
      </w:r>
      <w:r w:rsidR="00B758AD" w:rsidRPr="00B065AA">
        <w:t>is paid to a hedged LR in the energy price</w:t>
      </w:r>
      <w:r w:rsidR="007D0A0A" w:rsidRPr="00B065AA">
        <w:t xml:space="preserve"> and that portion of the energy price is ta</w:t>
      </w:r>
      <w:r w:rsidR="006947FF" w:rsidRPr="00B065AA">
        <w:t xml:space="preserve">ken back as AS Imbalance – LR providers always keeps the RRS capacity payment in DAM. </w:t>
      </w:r>
      <w:r w:rsidR="00C01C96" w:rsidRPr="00B065AA">
        <w:t xml:space="preserve">Under ERCOT’s proposal, RTC to immediately re-procure </w:t>
      </w:r>
      <w:r w:rsidR="008F7050" w:rsidRPr="00B065AA">
        <w:t xml:space="preserve">RRS or ECRS </w:t>
      </w:r>
      <w:r w:rsidR="008F7050" w:rsidRPr="00B065AA">
        <w:lastRenderedPageBreak/>
        <w:t xml:space="preserve">after </w:t>
      </w:r>
      <w:r w:rsidR="000D121F" w:rsidRPr="00B065AA">
        <w:t>LR deployment which is likely to result in very high RRS or ECRS prices</w:t>
      </w:r>
      <w:r w:rsidR="00ED4C3C" w:rsidRPr="00B065AA">
        <w:t xml:space="preserve"> in RTM even though energy prices may be </w:t>
      </w:r>
      <w:r w:rsidR="00996D3F" w:rsidRPr="00B065AA">
        <w:t>moderate (i.e. energy price</w:t>
      </w:r>
      <w:r w:rsidR="007D421E" w:rsidRPr="00B065AA">
        <w:t xml:space="preserve">s no longer add the AS price and may actually be much lower than the AS price). </w:t>
      </w:r>
      <w:r w:rsidR="00ED22E0">
        <w:t xml:space="preserve">Then the LR provider </w:t>
      </w:r>
      <w:r w:rsidR="00C36510">
        <w:t xml:space="preserve">is exposed to having to pay much higher prices </w:t>
      </w:r>
      <w:r w:rsidR="00CC4171">
        <w:t xml:space="preserve">in RTM than they were paid in DAM </w:t>
      </w:r>
      <w:r w:rsidR="00F23BB4">
        <w:t>for the AS. Although LR isn’t deployed often</w:t>
      </w:r>
      <w:r w:rsidR="000C59A3">
        <w:t xml:space="preserve">, only one such occurrence will expose the risk to the </w:t>
      </w:r>
      <w:r w:rsidR="006B4D85">
        <w:t xml:space="preserve">LR provider and potentially </w:t>
      </w:r>
      <w:r w:rsidR="004606BA">
        <w:t xml:space="preserve">result in them deciding the risk is too great to provide this service. </w:t>
      </w:r>
      <w:r w:rsidR="00683DC6">
        <w:t xml:space="preserve">Providing credit to LR when deployed and not re-procuring RRS or ECRS </w:t>
      </w:r>
      <w:r w:rsidR="00E27C89">
        <w:t>while the LR is deployed is current with how ERCOT current</w:t>
      </w:r>
      <w:r w:rsidR="00802BDA">
        <w:t xml:space="preserve">ly does not re-procure </w:t>
      </w:r>
      <w:r w:rsidR="00755849">
        <w:t xml:space="preserve">RRS. </w:t>
      </w:r>
      <w:r w:rsidR="00934C74">
        <w:t xml:space="preserve">The last ERCOT proposal did provide credit to LR </w:t>
      </w:r>
      <w:r w:rsidR="000805E9">
        <w:t xml:space="preserve">deployed by XML but did not provide such credit to </w:t>
      </w:r>
      <w:r w:rsidR="00953F9C">
        <w:t>LR deployed by UFR – this recommendation is to provide credit for both deployments</w:t>
      </w:r>
      <w:r w:rsidR="00062C98">
        <w:t xml:space="preserve"> (similar to ERCOT’s proposal on Off-line NSRS deployment).</w:t>
      </w:r>
      <w:r w:rsidR="000805E9">
        <w:t xml:space="preserve"> </w:t>
      </w:r>
    </w:p>
    <w:p w14:paraId="4EDCB127" w14:textId="0B394C8E" w:rsidR="00C05F14" w:rsidRDefault="00C05F14" w:rsidP="00C05F14">
      <w:pPr>
        <w:rPr>
          <w:b/>
          <w:bCs/>
        </w:rPr>
      </w:pPr>
      <w:r>
        <w:rPr>
          <w:b/>
          <w:bCs/>
        </w:rPr>
        <w:t xml:space="preserve">Recommendation </w:t>
      </w:r>
      <w:r>
        <w:rPr>
          <w:b/>
          <w:bCs/>
        </w:rPr>
        <w:t>8</w:t>
      </w:r>
      <w:r>
        <w:rPr>
          <w:b/>
          <w:bCs/>
        </w:rPr>
        <w:t xml:space="preserve">: Provide credit to </w:t>
      </w:r>
      <w:r w:rsidR="00CC6E9B">
        <w:rPr>
          <w:b/>
          <w:bCs/>
        </w:rPr>
        <w:t xml:space="preserve">Off-line </w:t>
      </w:r>
      <w:r>
        <w:rPr>
          <w:b/>
          <w:bCs/>
        </w:rPr>
        <w:t>NSRS provider</w:t>
      </w:r>
      <w:r>
        <w:rPr>
          <w:b/>
          <w:bCs/>
        </w:rPr>
        <w:t xml:space="preserve"> when deployed</w:t>
      </w:r>
      <w:r w:rsidR="001072A8">
        <w:rPr>
          <w:b/>
          <w:bCs/>
        </w:rPr>
        <w:t xml:space="preserve"> until </w:t>
      </w:r>
      <w:r w:rsidR="00947C5F">
        <w:rPr>
          <w:b/>
          <w:bCs/>
        </w:rPr>
        <w:t xml:space="preserve">earlier of Resource </w:t>
      </w:r>
      <w:r w:rsidR="00794E50">
        <w:rPr>
          <w:b/>
          <w:bCs/>
        </w:rPr>
        <w:t>telemeters</w:t>
      </w:r>
      <w:r w:rsidR="001072A8">
        <w:rPr>
          <w:b/>
          <w:bCs/>
        </w:rPr>
        <w:t xml:space="preserve"> ON status</w:t>
      </w:r>
      <w:r w:rsidR="00794E50">
        <w:rPr>
          <w:b/>
          <w:bCs/>
        </w:rPr>
        <w:t xml:space="preserve"> or 25 minutes</w:t>
      </w:r>
      <w:r>
        <w:rPr>
          <w:b/>
          <w:bCs/>
        </w:rPr>
        <w:t xml:space="preserve">. </w:t>
      </w:r>
    </w:p>
    <w:p w14:paraId="0384F352" w14:textId="55F536CC" w:rsidR="00C05F14" w:rsidRPr="00B065AA" w:rsidRDefault="00C63814" w:rsidP="00C05F14">
      <w:r>
        <w:t>Last ERCOT proposal does provide credit</w:t>
      </w:r>
      <w:r w:rsidR="00934C74">
        <w:t xml:space="preserve"> for Off-line NSRS for the full capacity amount till </w:t>
      </w:r>
      <w:r w:rsidR="009E1B0C">
        <w:t xml:space="preserve">the Resource starts producing energy – at which point </w:t>
      </w:r>
      <w:r w:rsidR="001003F9">
        <w:t>ERCOT only provides partial credit</w:t>
      </w:r>
      <w:r w:rsidR="00C05F14">
        <w:t xml:space="preserve">. </w:t>
      </w:r>
      <w:r w:rsidR="0085267B">
        <w:t>The resource is exposed to higher NSRS price</w:t>
      </w:r>
      <w:r w:rsidR="005B2A93">
        <w:t xml:space="preserve">s during the period of partial credit. </w:t>
      </w:r>
      <w:r w:rsidR="00AC11ED">
        <w:t xml:space="preserve">This recommendation would </w:t>
      </w:r>
      <w:r w:rsidR="00783EF7">
        <w:t xml:space="preserve">eliminate that exposure and treat energy produced to energy </w:t>
      </w:r>
      <w:r w:rsidR="00272E05">
        <w:t>deployed by LFC for RUS (when RUS energy is deployed</w:t>
      </w:r>
      <w:r w:rsidR="00103161">
        <w:t xml:space="preserve"> by LFC</w:t>
      </w:r>
      <w:r w:rsidR="00272E05">
        <w:t xml:space="preserve">, RUS provider </w:t>
      </w:r>
      <w:r w:rsidR="00103161">
        <w:t>still keeps the full RTC RUS capacity payment</w:t>
      </w:r>
      <w:r w:rsidR="001625E6">
        <w:t xml:space="preserve"> – the energy payment is on top of the capacity payment </w:t>
      </w:r>
      <w:r w:rsidR="00D94174">
        <w:t xml:space="preserve">for the same capacity). </w:t>
      </w:r>
      <w:r w:rsidR="00DE17B8">
        <w:t xml:space="preserve">ERCOT’s last proposal </w:t>
      </w:r>
      <w:r w:rsidR="00B13AC9">
        <w:t xml:space="preserve">(instead of immediate re-procurement </w:t>
      </w:r>
      <w:r w:rsidR="00FD40C2">
        <w:t xml:space="preserve">of the full capacity </w:t>
      </w:r>
      <w:r w:rsidR="00B13AC9">
        <w:t xml:space="preserve">and this Resource </w:t>
      </w:r>
      <w:r w:rsidR="009A4AB3">
        <w:t xml:space="preserve">not being able to provide either Off-line NSRS or On-line NSRS </w:t>
      </w:r>
      <w:r w:rsidR="00FF6460">
        <w:t xml:space="preserve">since its in startup mode) goes a long way in </w:t>
      </w:r>
      <w:r w:rsidR="004338EF">
        <w:t xml:space="preserve">mitigating this exposure – so, </w:t>
      </w:r>
      <w:r w:rsidR="00533502">
        <w:t xml:space="preserve">my concern is not that great for this issue assuming ERCOT </w:t>
      </w:r>
      <w:r w:rsidR="006353C7">
        <w:t>does not change their last proposal.</w:t>
      </w:r>
    </w:p>
    <w:p w14:paraId="242BD6C2" w14:textId="6090FD40" w:rsidR="00A338A1" w:rsidRDefault="00A338A1" w:rsidP="00A338A1">
      <w:pPr>
        <w:rPr>
          <w:b/>
          <w:bCs/>
        </w:rPr>
      </w:pPr>
      <w:r>
        <w:rPr>
          <w:b/>
          <w:bCs/>
        </w:rPr>
        <w:t xml:space="preserve">Recommendation </w:t>
      </w:r>
      <w:r>
        <w:rPr>
          <w:b/>
          <w:bCs/>
        </w:rPr>
        <w:t>9</w:t>
      </w:r>
      <w:r>
        <w:rPr>
          <w:b/>
          <w:bCs/>
        </w:rPr>
        <w:t xml:space="preserve">: </w:t>
      </w:r>
      <w:r w:rsidR="00C75A58">
        <w:rPr>
          <w:b/>
          <w:bCs/>
        </w:rPr>
        <w:t>Let</w:t>
      </w:r>
      <w:r w:rsidR="00BB63CE">
        <w:rPr>
          <w:b/>
          <w:bCs/>
        </w:rPr>
        <w:t xml:space="preserve"> Energy Storage Systems (ESS) </w:t>
      </w:r>
      <w:r w:rsidR="0022347C">
        <w:rPr>
          <w:b/>
          <w:bCs/>
        </w:rPr>
        <w:t>AS deployment by LFC expire with each RTC run</w:t>
      </w:r>
      <w:r>
        <w:rPr>
          <w:b/>
          <w:bCs/>
        </w:rPr>
        <w:t xml:space="preserve">. </w:t>
      </w:r>
    </w:p>
    <w:p w14:paraId="40DA891F" w14:textId="08B6DEC4" w:rsidR="00A338A1" w:rsidRPr="00B065AA" w:rsidRDefault="00864808" w:rsidP="00A338A1">
      <w:r>
        <w:t>E</w:t>
      </w:r>
      <w:r w:rsidR="002837B2">
        <w:t>S</w:t>
      </w:r>
      <w:r>
        <w:t xml:space="preserve">S when provide RRS or ECRS </w:t>
      </w:r>
      <w:r w:rsidR="00BE22F3">
        <w:t xml:space="preserve">and deployed by LFC must </w:t>
      </w:r>
      <w:r w:rsidR="00FE7151">
        <w:t xml:space="preserve">keep providing the service (say by producing energy at full capacity) till </w:t>
      </w:r>
      <w:r w:rsidR="00D02D6F">
        <w:t>ERCOT issues a recall instruction</w:t>
      </w:r>
      <w:r w:rsidR="00E51A4D">
        <w:t xml:space="preserve"> under current</w:t>
      </w:r>
      <w:r w:rsidR="009C5871">
        <w:t xml:space="preserve"> design</w:t>
      </w:r>
      <w:r w:rsidR="00A338A1">
        <w:t>.</w:t>
      </w:r>
      <w:r w:rsidR="00D02D6F">
        <w:t xml:space="preserve"> However, for RTC purposes, </w:t>
      </w:r>
      <w:r w:rsidR="00B4642C">
        <w:t xml:space="preserve">that EES must be able to offer and be awarded RRS or ECRS </w:t>
      </w:r>
      <w:r w:rsidR="009F5A1F">
        <w:t xml:space="preserve">for all SCED runs during the deployment and RTC must be able to </w:t>
      </w:r>
      <w:r w:rsidR="0092524A">
        <w:t xml:space="preserve">keep awarding RRS or ECRS to the EES </w:t>
      </w:r>
      <w:r w:rsidR="00235D93">
        <w:t>for that entire duration i</w:t>
      </w:r>
      <w:r w:rsidR="009C5871">
        <w:t>f</w:t>
      </w:r>
      <w:r w:rsidR="00235D93">
        <w:t xml:space="preserve"> that is the most economic </w:t>
      </w:r>
      <w:r w:rsidR="004816FA">
        <w:t xml:space="preserve">RTC result. Otherwise, EES provider is exposed </w:t>
      </w:r>
      <w:r w:rsidR="002365AD">
        <w:t xml:space="preserve">to the risk of </w:t>
      </w:r>
      <w:r w:rsidR="00FE05B2">
        <w:t xml:space="preserve">having to buy back the AS capacity at a higher price in RTM than DAM for all those </w:t>
      </w:r>
      <w:r w:rsidR="00D550AE">
        <w:t>intervals.</w:t>
      </w:r>
      <w:r w:rsidR="009C5871">
        <w:t xml:space="preserve"> </w:t>
      </w:r>
      <w:r w:rsidR="006D61A9">
        <w:t xml:space="preserve">One way to accomplish this is for LFC deployments </w:t>
      </w:r>
      <w:r w:rsidR="00EE1587">
        <w:t>for each SCED interval under RTC to expire with the next SCED</w:t>
      </w:r>
      <w:r w:rsidR="002837B2">
        <w:t xml:space="preserve"> run – LFC would have to redeploy the ESS</w:t>
      </w:r>
      <w:r w:rsidR="005C1E84">
        <w:t xml:space="preserve"> anew for each SCED interval</w:t>
      </w:r>
      <w:r w:rsidR="00B61201">
        <w:t xml:space="preserve"> only if the ESS is again awarded the AS for that SCED interval.</w:t>
      </w:r>
    </w:p>
    <w:p w14:paraId="751201D1" w14:textId="77777777" w:rsidR="00C05F14" w:rsidRPr="00B065AA" w:rsidRDefault="00C05F14"/>
    <w:sectPr w:rsidR="00C05F14" w:rsidRPr="00B065AA" w:rsidSect="00C06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8601F"/>
    <w:multiLevelType w:val="hybridMultilevel"/>
    <w:tmpl w:val="845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41CC"/>
    <w:multiLevelType w:val="hybridMultilevel"/>
    <w:tmpl w:val="EED88412"/>
    <w:lvl w:ilvl="0" w:tplc="1AD4784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85"/>
    <w:rsid w:val="000137A2"/>
    <w:rsid w:val="00015E43"/>
    <w:rsid w:val="00015E5F"/>
    <w:rsid w:val="00020BE2"/>
    <w:rsid w:val="00034966"/>
    <w:rsid w:val="000535CA"/>
    <w:rsid w:val="00062C98"/>
    <w:rsid w:val="0006467F"/>
    <w:rsid w:val="00065018"/>
    <w:rsid w:val="00066407"/>
    <w:rsid w:val="00072994"/>
    <w:rsid w:val="000805E9"/>
    <w:rsid w:val="000853CD"/>
    <w:rsid w:val="000A3016"/>
    <w:rsid w:val="000A3F6C"/>
    <w:rsid w:val="000A7125"/>
    <w:rsid w:val="000A7BF9"/>
    <w:rsid w:val="000B0FF5"/>
    <w:rsid w:val="000C13F5"/>
    <w:rsid w:val="000C51E2"/>
    <w:rsid w:val="000C59A3"/>
    <w:rsid w:val="000D121F"/>
    <w:rsid w:val="000E2CE8"/>
    <w:rsid w:val="000F0667"/>
    <w:rsid w:val="001003F9"/>
    <w:rsid w:val="00103161"/>
    <w:rsid w:val="001072A8"/>
    <w:rsid w:val="00115F94"/>
    <w:rsid w:val="00140316"/>
    <w:rsid w:val="001444F7"/>
    <w:rsid w:val="00152C9E"/>
    <w:rsid w:val="001625E6"/>
    <w:rsid w:val="001634B1"/>
    <w:rsid w:val="00171066"/>
    <w:rsid w:val="001938D6"/>
    <w:rsid w:val="00196717"/>
    <w:rsid w:val="001A5085"/>
    <w:rsid w:val="001B31E1"/>
    <w:rsid w:val="001C5F67"/>
    <w:rsid w:val="001D7857"/>
    <w:rsid w:val="001E5ED3"/>
    <w:rsid w:val="001F2961"/>
    <w:rsid w:val="001F5300"/>
    <w:rsid w:val="002164F1"/>
    <w:rsid w:val="00220D2E"/>
    <w:rsid w:val="0022347C"/>
    <w:rsid w:val="00224000"/>
    <w:rsid w:val="00235D93"/>
    <w:rsid w:val="002365AD"/>
    <w:rsid w:val="00255784"/>
    <w:rsid w:val="00260680"/>
    <w:rsid w:val="00270EEF"/>
    <w:rsid w:val="00272C4C"/>
    <w:rsid w:val="00272E05"/>
    <w:rsid w:val="00275D22"/>
    <w:rsid w:val="00277536"/>
    <w:rsid w:val="002837B2"/>
    <w:rsid w:val="002B50FE"/>
    <w:rsid w:val="002D30C9"/>
    <w:rsid w:val="00301C27"/>
    <w:rsid w:val="00316CFA"/>
    <w:rsid w:val="0032135E"/>
    <w:rsid w:val="0032611F"/>
    <w:rsid w:val="00333B35"/>
    <w:rsid w:val="00337C47"/>
    <w:rsid w:val="003410AF"/>
    <w:rsid w:val="00351015"/>
    <w:rsid w:val="0035376C"/>
    <w:rsid w:val="003771F3"/>
    <w:rsid w:val="00381560"/>
    <w:rsid w:val="003B2688"/>
    <w:rsid w:val="003C0B9C"/>
    <w:rsid w:val="003D265B"/>
    <w:rsid w:val="003D4784"/>
    <w:rsid w:val="003E027E"/>
    <w:rsid w:val="003F2247"/>
    <w:rsid w:val="003F36E8"/>
    <w:rsid w:val="003F4885"/>
    <w:rsid w:val="003F5872"/>
    <w:rsid w:val="00402138"/>
    <w:rsid w:val="00405461"/>
    <w:rsid w:val="0041324F"/>
    <w:rsid w:val="00415D27"/>
    <w:rsid w:val="00417047"/>
    <w:rsid w:val="00424D87"/>
    <w:rsid w:val="004338EF"/>
    <w:rsid w:val="0044487F"/>
    <w:rsid w:val="00447362"/>
    <w:rsid w:val="004537AD"/>
    <w:rsid w:val="004606BA"/>
    <w:rsid w:val="00466595"/>
    <w:rsid w:val="004816FA"/>
    <w:rsid w:val="00482313"/>
    <w:rsid w:val="004A3F5A"/>
    <w:rsid w:val="004A7F79"/>
    <w:rsid w:val="004B1092"/>
    <w:rsid w:val="004B1D8B"/>
    <w:rsid w:val="004C7315"/>
    <w:rsid w:val="004D2040"/>
    <w:rsid w:val="004D2D45"/>
    <w:rsid w:val="004F6B43"/>
    <w:rsid w:val="004F7772"/>
    <w:rsid w:val="005030AE"/>
    <w:rsid w:val="005129B0"/>
    <w:rsid w:val="00513729"/>
    <w:rsid w:val="0051594D"/>
    <w:rsid w:val="00517ED5"/>
    <w:rsid w:val="0052476C"/>
    <w:rsid w:val="00530818"/>
    <w:rsid w:val="00533502"/>
    <w:rsid w:val="005525AA"/>
    <w:rsid w:val="005A45B0"/>
    <w:rsid w:val="005A6493"/>
    <w:rsid w:val="005B2A93"/>
    <w:rsid w:val="005C1E84"/>
    <w:rsid w:val="005D5D2E"/>
    <w:rsid w:val="005F06EE"/>
    <w:rsid w:val="00602CB3"/>
    <w:rsid w:val="0062501A"/>
    <w:rsid w:val="00625DE6"/>
    <w:rsid w:val="00626F0E"/>
    <w:rsid w:val="006353C7"/>
    <w:rsid w:val="00636842"/>
    <w:rsid w:val="00644A4B"/>
    <w:rsid w:val="00645E1F"/>
    <w:rsid w:val="00657526"/>
    <w:rsid w:val="00672962"/>
    <w:rsid w:val="00672BA9"/>
    <w:rsid w:val="00673B1E"/>
    <w:rsid w:val="0067483D"/>
    <w:rsid w:val="00675775"/>
    <w:rsid w:val="00683DC6"/>
    <w:rsid w:val="00687947"/>
    <w:rsid w:val="006947FF"/>
    <w:rsid w:val="006B4D85"/>
    <w:rsid w:val="006B60C0"/>
    <w:rsid w:val="006B77CB"/>
    <w:rsid w:val="006B7A11"/>
    <w:rsid w:val="006D2828"/>
    <w:rsid w:val="006D61A9"/>
    <w:rsid w:val="006E5606"/>
    <w:rsid w:val="00700A7D"/>
    <w:rsid w:val="00713358"/>
    <w:rsid w:val="00725799"/>
    <w:rsid w:val="00731132"/>
    <w:rsid w:val="00755051"/>
    <w:rsid w:val="00755532"/>
    <w:rsid w:val="00755849"/>
    <w:rsid w:val="007607D6"/>
    <w:rsid w:val="00770D88"/>
    <w:rsid w:val="00783EF7"/>
    <w:rsid w:val="007845AF"/>
    <w:rsid w:val="00787973"/>
    <w:rsid w:val="007949D2"/>
    <w:rsid w:val="00794E50"/>
    <w:rsid w:val="007A5356"/>
    <w:rsid w:val="007A6DB6"/>
    <w:rsid w:val="007A72CE"/>
    <w:rsid w:val="007C5C4D"/>
    <w:rsid w:val="007D0A0A"/>
    <w:rsid w:val="007D421E"/>
    <w:rsid w:val="007E77F8"/>
    <w:rsid w:val="007F3EE3"/>
    <w:rsid w:val="007F499A"/>
    <w:rsid w:val="0080103E"/>
    <w:rsid w:val="00802BDA"/>
    <w:rsid w:val="00806942"/>
    <w:rsid w:val="0081683B"/>
    <w:rsid w:val="0082201C"/>
    <w:rsid w:val="00825BF5"/>
    <w:rsid w:val="00826666"/>
    <w:rsid w:val="00833BCA"/>
    <w:rsid w:val="008340CF"/>
    <w:rsid w:val="0085267B"/>
    <w:rsid w:val="00864808"/>
    <w:rsid w:val="00872EA3"/>
    <w:rsid w:val="0087548A"/>
    <w:rsid w:val="00884D18"/>
    <w:rsid w:val="008A0D21"/>
    <w:rsid w:val="008A7C3C"/>
    <w:rsid w:val="008B74EE"/>
    <w:rsid w:val="008C148E"/>
    <w:rsid w:val="008C2662"/>
    <w:rsid w:val="008F076B"/>
    <w:rsid w:val="008F7050"/>
    <w:rsid w:val="009226B8"/>
    <w:rsid w:val="00923EF1"/>
    <w:rsid w:val="0092524A"/>
    <w:rsid w:val="00932B40"/>
    <w:rsid w:val="00934C74"/>
    <w:rsid w:val="009352B3"/>
    <w:rsid w:val="00937B55"/>
    <w:rsid w:val="00944618"/>
    <w:rsid w:val="009447E3"/>
    <w:rsid w:val="00947BD3"/>
    <w:rsid w:val="00947C5F"/>
    <w:rsid w:val="00953B8D"/>
    <w:rsid w:val="00953F9C"/>
    <w:rsid w:val="009547C8"/>
    <w:rsid w:val="00961566"/>
    <w:rsid w:val="009748B1"/>
    <w:rsid w:val="009829C3"/>
    <w:rsid w:val="009866F4"/>
    <w:rsid w:val="00996D3F"/>
    <w:rsid w:val="009A4AB3"/>
    <w:rsid w:val="009C5871"/>
    <w:rsid w:val="009D0BF6"/>
    <w:rsid w:val="009D1615"/>
    <w:rsid w:val="009D4EA7"/>
    <w:rsid w:val="009E1B0C"/>
    <w:rsid w:val="009E1C49"/>
    <w:rsid w:val="009E2DF9"/>
    <w:rsid w:val="009F5A1F"/>
    <w:rsid w:val="00A00047"/>
    <w:rsid w:val="00A036E9"/>
    <w:rsid w:val="00A04064"/>
    <w:rsid w:val="00A0524E"/>
    <w:rsid w:val="00A07A43"/>
    <w:rsid w:val="00A13D53"/>
    <w:rsid w:val="00A21BE0"/>
    <w:rsid w:val="00A338A1"/>
    <w:rsid w:val="00A462B4"/>
    <w:rsid w:val="00A50E7B"/>
    <w:rsid w:val="00A57932"/>
    <w:rsid w:val="00AA05B5"/>
    <w:rsid w:val="00AB3532"/>
    <w:rsid w:val="00AB3903"/>
    <w:rsid w:val="00AB53B2"/>
    <w:rsid w:val="00AC11ED"/>
    <w:rsid w:val="00AC1698"/>
    <w:rsid w:val="00AE6AD5"/>
    <w:rsid w:val="00B065AA"/>
    <w:rsid w:val="00B0799B"/>
    <w:rsid w:val="00B13AC9"/>
    <w:rsid w:val="00B16E08"/>
    <w:rsid w:val="00B242B6"/>
    <w:rsid w:val="00B335AF"/>
    <w:rsid w:val="00B4642C"/>
    <w:rsid w:val="00B61201"/>
    <w:rsid w:val="00B63732"/>
    <w:rsid w:val="00B758AD"/>
    <w:rsid w:val="00B8085E"/>
    <w:rsid w:val="00B959C8"/>
    <w:rsid w:val="00BB1E15"/>
    <w:rsid w:val="00BB447A"/>
    <w:rsid w:val="00BB63CE"/>
    <w:rsid w:val="00BC024B"/>
    <w:rsid w:val="00BC1F3B"/>
    <w:rsid w:val="00BD06A5"/>
    <w:rsid w:val="00BD11D6"/>
    <w:rsid w:val="00BD23B5"/>
    <w:rsid w:val="00BE22F3"/>
    <w:rsid w:val="00BE2F1D"/>
    <w:rsid w:val="00C01C96"/>
    <w:rsid w:val="00C03598"/>
    <w:rsid w:val="00C05F14"/>
    <w:rsid w:val="00C06511"/>
    <w:rsid w:val="00C07A73"/>
    <w:rsid w:val="00C07AFA"/>
    <w:rsid w:val="00C07B85"/>
    <w:rsid w:val="00C3214E"/>
    <w:rsid w:val="00C364B7"/>
    <w:rsid w:val="00C36510"/>
    <w:rsid w:val="00C61912"/>
    <w:rsid w:val="00C63814"/>
    <w:rsid w:val="00C6630A"/>
    <w:rsid w:val="00C725FC"/>
    <w:rsid w:val="00C75A58"/>
    <w:rsid w:val="00C927FD"/>
    <w:rsid w:val="00C93036"/>
    <w:rsid w:val="00CA440A"/>
    <w:rsid w:val="00CA6C6A"/>
    <w:rsid w:val="00CB0FF9"/>
    <w:rsid w:val="00CB7DC9"/>
    <w:rsid w:val="00CC125D"/>
    <w:rsid w:val="00CC4171"/>
    <w:rsid w:val="00CC6E9B"/>
    <w:rsid w:val="00CD4C59"/>
    <w:rsid w:val="00CE6354"/>
    <w:rsid w:val="00D02D6F"/>
    <w:rsid w:val="00D1349B"/>
    <w:rsid w:val="00D2462E"/>
    <w:rsid w:val="00D265DE"/>
    <w:rsid w:val="00D30384"/>
    <w:rsid w:val="00D30BD7"/>
    <w:rsid w:val="00D43428"/>
    <w:rsid w:val="00D45ACB"/>
    <w:rsid w:val="00D46940"/>
    <w:rsid w:val="00D47474"/>
    <w:rsid w:val="00D550AE"/>
    <w:rsid w:val="00D552B5"/>
    <w:rsid w:val="00D56C87"/>
    <w:rsid w:val="00D6129E"/>
    <w:rsid w:val="00D71CEC"/>
    <w:rsid w:val="00D71F2E"/>
    <w:rsid w:val="00D720F5"/>
    <w:rsid w:val="00D7335F"/>
    <w:rsid w:val="00D843A4"/>
    <w:rsid w:val="00D94174"/>
    <w:rsid w:val="00D94510"/>
    <w:rsid w:val="00D94C46"/>
    <w:rsid w:val="00D9513C"/>
    <w:rsid w:val="00D97329"/>
    <w:rsid w:val="00DA207A"/>
    <w:rsid w:val="00DA3D09"/>
    <w:rsid w:val="00DB6E12"/>
    <w:rsid w:val="00DC7F8B"/>
    <w:rsid w:val="00DE17B8"/>
    <w:rsid w:val="00DE2DB4"/>
    <w:rsid w:val="00DF675B"/>
    <w:rsid w:val="00DF6A05"/>
    <w:rsid w:val="00E16C95"/>
    <w:rsid w:val="00E27C89"/>
    <w:rsid w:val="00E44682"/>
    <w:rsid w:val="00E51A4D"/>
    <w:rsid w:val="00E6114C"/>
    <w:rsid w:val="00E702D1"/>
    <w:rsid w:val="00E71147"/>
    <w:rsid w:val="00E73B5D"/>
    <w:rsid w:val="00E75E17"/>
    <w:rsid w:val="00E858D2"/>
    <w:rsid w:val="00E91494"/>
    <w:rsid w:val="00E94559"/>
    <w:rsid w:val="00EA0899"/>
    <w:rsid w:val="00EB6048"/>
    <w:rsid w:val="00ED22E0"/>
    <w:rsid w:val="00ED4C3C"/>
    <w:rsid w:val="00EE1587"/>
    <w:rsid w:val="00EF06BA"/>
    <w:rsid w:val="00EF1EE6"/>
    <w:rsid w:val="00F01476"/>
    <w:rsid w:val="00F11E2E"/>
    <w:rsid w:val="00F14960"/>
    <w:rsid w:val="00F1659D"/>
    <w:rsid w:val="00F21E64"/>
    <w:rsid w:val="00F23BB4"/>
    <w:rsid w:val="00F25335"/>
    <w:rsid w:val="00F30BDB"/>
    <w:rsid w:val="00F3488C"/>
    <w:rsid w:val="00F3566E"/>
    <w:rsid w:val="00F4596A"/>
    <w:rsid w:val="00F76188"/>
    <w:rsid w:val="00F8358C"/>
    <w:rsid w:val="00F93209"/>
    <w:rsid w:val="00FB2072"/>
    <w:rsid w:val="00FD1439"/>
    <w:rsid w:val="00FD40C2"/>
    <w:rsid w:val="00FE055A"/>
    <w:rsid w:val="00FE05B2"/>
    <w:rsid w:val="00FE2294"/>
    <w:rsid w:val="00FE5A54"/>
    <w:rsid w:val="00FE7151"/>
    <w:rsid w:val="00FF0CE0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BBF2"/>
  <w15:chartTrackingRefBased/>
  <w15:docId w15:val="{2486E157-13EF-42D7-B884-0C82A598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8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A3016"/>
    <w:rPr>
      <w:color w:val="808080"/>
    </w:rPr>
  </w:style>
  <w:style w:type="table" w:styleId="TableGrid">
    <w:name w:val="Table Grid"/>
    <w:basedOn w:val="TableNormal"/>
    <w:uiPriority w:val="39"/>
    <w:rsid w:val="00B8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3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D5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6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A649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5A649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A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6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1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9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7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4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37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452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049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625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539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837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278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988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359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9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97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78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2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9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21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7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30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36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81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50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4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3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9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09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70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35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5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0739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324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5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881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0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1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695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1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1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1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4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2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8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2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99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3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5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6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0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9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2170">
          <w:marLeft w:val="144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8406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091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69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14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78">
          <w:marLeft w:val="180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892">
          <w:marLeft w:val="180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16">
          <w:marLeft w:val="25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3404">
          <w:marLeft w:val="25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696">
          <w:marLeft w:val="180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473">
          <w:marLeft w:val="25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693">
          <w:marLeft w:val="180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040">
          <w:marLeft w:val="25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101">
          <w:marLeft w:val="252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465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6115-ED98-499E-AFA1-305DF605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smoorty</dc:creator>
  <cp:keywords/>
  <dc:description/>
  <cp:lastModifiedBy>Shams Siddiqi</cp:lastModifiedBy>
  <cp:revision>122</cp:revision>
  <dcterms:created xsi:type="dcterms:W3CDTF">2019-08-22T13:25:00Z</dcterms:created>
  <dcterms:modified xsi:type="dcterms:W3CDTF">2019-08-23T14:27:00Z</dcterms:modified>
</cp:coreProperties>
</file>