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34F" w:rsidRPr="00496E4D" w:rsidRDefault="0077634F" w:rsidP="0077634F">
      <w:pPr>
        <w:rPr>
          <w:b/>
          <w:sz w:val="22"/>
          <w:szCs w:val="22"/>
        </w:rPr>
      </w:pPr>
      <w:r w:rsidRPr="00496E4D">
        <w:rPr>
          <w:b/>
          <w:sz w:val="22"/>
          <w:szCs w:val="22"/>
        </w:rPr>
        <w:t>AGENDA</w:t>
      </w:r>
    </w:p>
    <w:p w:rsidR="0077634F" w:rsidRPr="00F36470" w:rsidRDefault="0077634F" w:rsidP="0077634F">
      <w:pPr>
        <w:rPr>
          <w:b/>
          <w:color w:val="000000"/>
          <w:sz w:val="22"/>
          <w:szCs w:val="22"/>
        </w:rPr>
      </w:pPr>
      <w:r w:rsidRPr="00F36470">
        <w:rPr>
          <w:b/>
          <w:sz w:val="22"/>
          <w:szCs w:val="22"/>
        </w:rPr>
        <w:t xml:space="preserve">ERCOT </w:t>
      </w:r>
      <w:r w:rsidR="00F36470" w:rsidRPr="00F36470">
        <w:rPr>
          <w:b/>
          <w:sz w:val="22"/>
          <w:szCs w:val="22"/>
        </w:rPr>
        <w:t>Wholesale Market Working Group</w:t>
      </w:r>
      <w:r w:rsidRPr="00F36470">
        <w:rPr>
          <w:b/>
          <w:sz w:val="22"/>
          <w:szCs w:val="22"/>
        </w:rPr>
        <w:t xml:space="preserve"> M</w:t>
      </w:r>
      <w:r w:rsidR="00F36470" w:rsidRPr="00F36470">
        <w:rPr>
          <w:b/>
          <w:sz w:val="22"/>
          <w:szCs w:val="22"/>
        </w:rPr>
        <w:t>eeting</w:t>
      </w:r>
      <w:r w:rsidRPr="00F36470">
        <w:rPr>
          <w:b/>
          <w:color w:val="000000"/>
          <w:sz w:val="22"/>
          <w:szCs w:val="22"/>
        </w:rPr>
        <w:t xml:space="preserve"> </w:t>
      </w:r>
    </w:p>
    <w:p w:rsidR="0077634F" w:rsidRPr="00496E4D" w:rsidRDefault="0077634F" w:rsidP="0077634F">
      <w:pPr>
        <w:rPr>
          <w:color w:val="000000"/>
          <w:sz w:val="22"/>
          <w:szCs w:val="22"/>
        </w:rPr>
      </w:pPr>
      <w:r w:rsidRPr="00496E4D">
        <w:rPr>
          <w:color w:val="000000"/>
          <w:sz w:val="22"/>
          <w:szCs w:val="22"/>
        </w:rPr>
        <w:t>ERCOT Austin Office / 7620 Metro Center Drive / Austin, Texas 78744</w:t>
      </w:r>
    </w:p>
    <w:p w:rsidR="0077634F" w:rsidRPr="00496E4D" w:rsidRDefault="009A22B1" w:rsidP="0077634F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June</w:t>
      </w:r>
      <w:r w:rsidR="00F36470">
        <w:rPr>
          <w:color w:val="000000"/>
          <w:sz w:val="22"/>
          <w:szCs w:val="22"/>
        </w:rPr>
        <w:t xml:space="preserve"> </w:t>
      </w:r>
      <w:r w:rsidR="00543A65">
        <w:rPr>
          <w:color w:val="000000"/>
          <w:sz w:val="22"/>
          <w:szCs w:val="22"/>
        </w:rPr>
        <w:t>22</w:t>
      </w:r>
      <w:r w:rsidR="0077634F" w:rsidRPr="00496E4D">
        <w:rPr>
          <w:color w:val="000000"/>
          <w:sz w:val="22"/>
          <w:szCs w:val="22"/>
        </w:rPr>
        <w:t xml:space="preserve">, </w:t>
      </w:r>
      <w:r w:rsidR="005F7D78">
        <w:rPr>
          <w:color w:val="000000"/>
          <w:sz w:val="22"/>
          <w:szCs w:val="22"/>
        </w:rPr>
        <w:t>2019</w:t>
      </w:r>
      <w:r w:rsidR="0077634F">
        <w:rPr>
          <w:color w:val="000000"/>
          <w:sz w:val="22"/>
          <w:szCs w:val="22"/>
        </w:rPr>
        <w:t xml:space="preserve"> / </w:t>
      </w:r>
      <w:r>
        <w:rPr>
          <w:color w:val="000000"/>
          <w:sz w:val="22"/>
          <w:szCs w:val="22"/>
        </w:rPr>
        <w:t>After CMWG –</w:t>
      </w:r>
      <w:r w:rsidR="0077634F" w:rsidRPr="00496E4D">
        <w:rPr>
          <w:color w:val="000000"/>
          <w:sz w:val="22"/>
          <w:szCs w:val="22"/>
        </w:rPr>
        <w:t xml:space="preserve"> </w:t>
      </w:r>
      <w:r w:rsidR="006760BA">
        <w:rPr>
          <w:color w:val="000000"/>
          <w:sz w:val="22"/>
          <w:szCs w:val="22"/>
        </w:rPr>
        <w:t>3</w:t>
      </w:r>
      <w:r w:rsidR="005F7D78">
        <w:rPr>
          <w:color w:val="000000"/>
          <w:sz w:val="22"/>
          <w:szCs w:val="22"/>
        </w:rPr>
        <w:t>:30</w:t>
      </w:r>
    </w:p>
    <w:p w:rsidR="0077634F" w:rsidRPr="00496E4D" w:rsidRDefault="0077634F" w:rsidP="0077634F">
      <w:pPr>
        <w:rPr>
          <w:color w:val="000000"/>
          <w:sz w:val="22"/>
          <w:szCs w:val="22"/>
        </w:rPr>
      </w:pPr>
    </w:p>
    <w:p w:rsidR="0077634F" w:rsidRPr="00496E4D" w:rsidRDefault="00165629" w:rsidP="0077634F">
      <w:pPr>
        <w:rPr>
          <w:color w:val="000000"/>
          <w:sz w:val="22"/>
          <w:szCs w:val="22"/>
        </w:rPr>
      </w:pPr>
      <w:hyperlink r:id="rId8" w:history="1">
        <w:r w:rsidR="0077634F" w:rsidRPr="00496E4D">
          <w:rPr>
            <w:rStyle w:val="Hyperlink"/>
            <w:sz w:val="22"/>
            <w:szCs w:val="22"/>
          </w:rPr>
          <w:t>http://ercot.webex.com</w:t>
        </w:r>
      </w:hyperlink>
    </w:p>
    <w:p w:rsidR="0077634F" w:rsidRPr="00496E4D" w:rsidRDefault="0077634F" w:rsidP="0077634F">
      <w:pPr>
        <w:rPr>
          <w:color w:val="000000"/>
          <w:sz w:val="22"/>
          <w:szCs w:val="22"/>
        </w:rPr>
      </w:pPr>
      <w:r w:rsidRPr="00496E4D">
        <w:rPr>
          <w:color w:val="000000"/>
          <w:sz w:val="22"/>
          <w:szCs w:val="22"/>
        </w:rPr>
        <w:t xml:space="preserve">Meeting Number: </w:t>
      </w:r>
    </w:p>
    <w:p w:rsidR="0077634F" w:rsidRPr="00496E4D" w:rsidRDefault="0077634F" w:rsidP="0077634F">
      <w:pPr>
        <w:rPr>
          <w:color w:val="000000"/>
          <w:sz w:val="22"/>
          <w:szCs w:val="22"/>
        </w:rPr>
      </w:pPr>
      <w:r w:rsidRPr="00496E4D">
        <w:rPr>
          <w:color w:val="000000"/>
          <w:sz w:val="22"/>
          <w:szCs w:val="22"/>
        </w:rPr>
        <w:t xml:space="preserve">Meeting Password: </w:t>
      </w:r>
    </w:p>
    <w:p w:rsidR="0077634F" w:rsidRPr="004D3BDA" w:rsidRDefault="0077634F" w:rsidP="0077634F">
      <w:pPr>
        <w:rPr>
          <w:b/>
          <w:color w:val="000000"/>
          <w:sz w:val="22"/>
          <w:szCs w:val="22"/>
        </w:rPr>
      </w:pPr>
      <w:r w:rsidRPr="00496E4D">
        <w:rPr>
          <w:color w:val="000000"/>
          <w:sz w:val="22"/>
          <w:szCs w:val="22"/>
        </w:rPr>
        <w:t>Audio Dial-In:</w:t>
      </w:r>
      <w:r w:rsidRPr="004D3BDA">
        <w:rPr>
          <w:b/>
          <w:color w:val="000000"/>
          <w:sz w:val="22"/>
          <w:szCs w:val="22"/>
        </w:rPr>
        <w:t xml:space="preserve"> </w:t>
      </w:r>
    </w:p>
    <w:p w:rsidR="0077634F" w:rsidRPr="004D3BDA" w:rsidRDefault="0077634F" w:rsidP="0077634F">
      <w:pPr>
        <w:rPr>
          <w:rFonts w:ascii="Arial" w:hAnsi="Arial" w:cs="Arial"/>
          <w:sz w:val="22"/>
          <w:szCs w:val="22"/>
        </w:rPr>
      </w:pPr>
    </w:p>
    <w:p w:rsidR="0077634F" w:rsidRPr="004D3BDA" w:rsidRDefault="0077634F" w:rsidP="0077634F">
      <w:pPr>
        <w:rPr>
          <w:sz w:val="22"/>
          <w:szCs w:val="22"/>
        </w:rPr>
      </w:pPr>
    </w:p>
    <w:tbl>
      <w:tblPr>
        <w:tblW w:w="0" w:type="auto"/>
        <w:tblInd w:w="-162" w:type="dxa"/>
        <w:tblLook w:val="01E0" w:firstRow="1" w:lastRow="1" w:firstColumn="1" w:lastColumn="1" w:noHBand="0" w:noVBand="0"/>
      </w:tblPr>
      <w:tblGrid>
        <w:gridCol w:w="523"/>
        <w:gridCol w:w="5579"/>
        <w:gridCol w:w="1728"/>
        <w:gridCol w:w="1188"/>
      </w:tblGrid>
      <w:tr w:rsidR="0077634F" w:rsidRPr="00496E4D" w:rsidTr="00E70952">
        <w:trPr>
          <w:trHeight w:val="360"/>
        </w:trPr>
        <w:tc>
          <w:tcPr>
            <w:tcW w:w="523" w:type="dxa"/>
          </w:tcPr>
          <w:p w:rsidR="0077634F" w:rsidRPr="00496E4D" w:rsidRDefault="0077634F" w:rsidP="005C1B10">
            <w:pPr>
              <w:jc w:val="right"/>
              <w:rPr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496E4D">
              <w:rPr>
                <w:sz w:val="22"/>
                <w:szCs w:val="22"/>
              </w:rPr>
              <w:t>1.</w:t>
            </w:r>
          </w:p>
        </w:tc>
        <w:tc>
          <w:tcPr>
            <w:tcW w:w="5579" w:type="dxa"/>
          </w:tcPr>
          <w:p w:rsidR="0077634F" w:rsidRPr="00496E4D" w:rsidRDefault="0077634F" w:rsidP="005C1B10">
            <w:pPr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>Antitrust Admonition</w:t>
            </w:r>
          </w:p>
        </w:tc>
        <w:tc>
          <w:tcPr>
            <w:tcW w:w="1728" w:type="dxa"/>
          </w:tcPr>
          <w:p w:rsidR="0077634F" w:rsidRPr="00496E4D" w:rsidRDefault="00E70952" w:rsidP="00E709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Detelich</w:t>
            </w:r>
          </w:p>
        </w:tc>
        <w:tc>
          <w:tcPr>
            <w:tcW w:w="1188" w:type="dxa"/>
          </w:tcPr>
          <w:p w:rsidR="0077634F" w:rsidRPr="00496E4D" w:rsidRDefault="00851D1A" w:rsidP="005C1B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77634F" w:rsidRPr="00496E4D">
              <w:rPr>
                <w:sz w:val="22"/>
                <w:szCs w:val="22"/>
              </w:rPr>
              <w:t>:30 a.m.</w:t>
            </w:r>
          </w:p>
        </w:tc>
      </w:tr>
      <w:tr w:rsidR="0077634F" w:rsidRPr="00496E4D" w:rsidTr="00E70952">
        <w:trPr>
          <w:trHeight w:val="360"/>
        </w:trPr>
        <w:tc>
          <w:tcPr>
            <w:tcW w:w="523" w:type="dxa"/>
          </w:tcPr>
          <w:p w:rsidR="0077634F" w:rsidRPr="00496E4D" w:rsidRDefault="0077634F" w:rsidP="005C1B10">
            <w:pPr>
              <w:jc w:val="right"/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>2.</w:t>
            </w:r>
          </w:p>
        </w:tc>
        <w:tc>
          <w:tcPr>
            <w:tcW w:w="5579" w:type="dxa"/>
          </w:tcPr>
          <w:p w:rsidR="00247934" w:rsidRPr="00273D07" w:rsidRDefault="00543A65" w:rsidP="00273D07">
            <w:pPr>
              <w:rPr>
                <w:sz w:val="22"/>
                <w:szCs w:val="22"/>
              </w:rPr>
            </w:pPr>
            <w:r w:rsidRPr="00543A65">
              <w:rPr>
                <w:sz w:val="22"/>
                <w:szCs w:val="22"/>
              </w:rPr>
              <w:t>NPRR947, Clarification to Ancillary Service Supply Responsibility Definition and Improvements to Determining and Charging for Ancillary Service Failed Quantities</w:t>
            </w:r>
            <w:r w:rsidR="00247934" w:rsidRPr="00273D07">
              <w:rPr>
                <w:sz w:val="22"/>
                <w:szCs w:val="22"/>
              </w:rPr>
              <w:t xml:space="preserve"> </w:t>
            </w:r>
          </w:p>
          <w:p w:rsidR="00876CD0" w:rsidRPr="00496E4D" w:rsidRDefault="00876CD0" w:rsidP="00BF4837">
            <w:pPr>
              <w:pStyle w:val="ListParagraph"/>
              <w:ind w:left="360"/>
              <w:rPr>
                <w:sz w:val="22"/>
                <w:szCs w:val="22"/>
              </w:rPr>
            </w:pPr>
          </w:p>
        </w:tc>
        <w:tc>
          <w:tcPr>
            <w:tcW w:w="1728" w:type="dxa"/>
          </w:tcPr>
          <w:p w:rsidR="00273D07" w:rsidRDefault="00E70952" w:rsidP="00273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Detelich</w:t>
            </w:r>
          </w:p>
          <w:p w:rsidR="0077634F" w:rsidRDefault="00543A65" w:rsidP="00273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 Lange</w:t>
            </w:r>
          </w:p>
          <w:p w:rsidR="00A13B49" w:rsidRDefault="00543A65" w:rsidP="00273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 Jolly</w:t>
            </w:r>
          </w:p>
          <w:p w:rsidR="00A13B49" w:rsidRPr="00496E4D" w:rsidRDefault="00A13B49" w:rsidP="00273D07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</w:tcPr>
          <w:p w:rsidR="0077634F" w:rsidRPr="00496E4D" w:rsidRDefault="0077634F" w:rsidP="005C1B10">
            <w:pPr>
              <w:jc w:val="right"/>
              <w:rPr>
                <w:sz w:val="22"/>
                <w:szCs w:val="22"/>
              </w:rPr>
            </w:pPr>
          </w:p>
        </w:tc>
      </w:tr>
      <w:tr w:rsidR="00876CD0" w:rsidRPr="00496E4D" w:rsidTr="00E70952">
        <w:trPr>
          <w:trHeight w:val="360"/>
        </w:trPr>
        <w:tc>
          <w:tcPr>
            <w:tcW w:w="523" w:type="dxa"/>
          </w:tcPr>
          <w:p w:rsidR="00876CD0" w:rsidRPr="00496E4D" w:rsidRDefault="00876CD0" w:rsidP="005C1B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579" w:type="dxa"/>
          </w:tcPr>
          <w:p w:rsidR="00876CD0" w:rsidRDefault="00876CD0" w:rsidP="005C1B10">
            <w:pPr>
              <w:rPr>
                <w:sz w:val="22"/>
                <w:szCs w:val="22"/>
              </w:rPr>
            </w:pPr>
            <w:r w:rsidRPr="00876CD0">
              <w:rPr>
                <w:sz w:val="22"/>
                <w:szCs w:val="22"/>
              </w:rPr>
              <w:t>Monthly Review</w:t>
            </w:r>
          </w:p>
          <w:p w:rsidR="00876CD0" w:rsidRDefault="00876CD0" w:rsidP="00876CD0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876CD0">
              <w:rPr>
                <w:sz w:val="22"/>
                <w:szCs w:val="22"/>
              </w:rPr>
              <w:t>Board Market Operations Material</w:t>
            </w:r>
          </w:p>
          <w:p w:rsidR="00876CD0" w:rsidRDefault="00876CD0" w:rsidP="00876CD0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876CD0">
              <w:rPr>
                <w:sz w:val="22"/>
                <w:szCs w:val="22"/>
              </w:rPr>
              <w:t>SASM/Manual Override Activity</w:t>
            </w:r>
          </w:p>
          <w:p w:rsidR="00876CD0" w:rsidRPr="00496E4D" w:rsidRDefault="00876CD0" w:rsidP="00876CD0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876CD0">
              <w:rPr>
                <w:sz w:val="22"/>
                <w:szCs w:val="22"/>
              </w:rPr>
              <w:t>Intra-Hour Wind Forecast Accuracy</w:t>
            </w:r>
          </w:p>
          <w:p w:rsidR="00876CD0" w:rsidRPr="00E70952" w:rsidRDefault="00876CD0" w:rsidP="005C1B10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</w:tcPr>
          <w:p w:rsidR="00876CD0" w:rsidRDefault="00876CD0" w:rsidP="00E709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</w:t>
            </w:r>
          </w:p>
        </w:tc>
        <w:tc>
          <w:tcPr>
            <w:tcW w:w="1188" w:type="dxa"/>
          </w:tcPr>
          <w:p w:rsidR="00876CD0" w:rsidRPr="00496E4D" w:rsidRDefault="00876CD0" w:rsidP="005C1B10">
            <w:pPr>
              <w:jc w:val="right"/>
              <w:rPr>
                <w:sz w:val="22"/>
                <w:szCs w:val="22"/>
              </w:rPr>
            </w:pPr>
          </w:p>
        </w:tc>
      </w:tr>
      <w:tr w:rsidR="00DC27AC" w:rsidRPr="00496E4D" w:rsidTr="00E70952">
        <w:trPr>
          <w:trHeight w:val="360"/>
        </w:trPr>
        <w:tc>
          <w:tcPr>
            <w:tcW w:w="523" w:type="dxa"/>
          </w:tcPr>
          <w:p w:rsidR="00DC27AC" w:rsidRDefault="00DC27AC" w:rsidP="00DC27A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79" w:type="dxa"/>
          </w:tcPr>
          <w:p w:rsidR="00DC27AC" w:rsidRDefault="00DC27AC" w:rsidP="00DC27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Storage Communicating Dispatch Preference</w:t>
            </w:r>
            <w:r w:rsidRPr="009A22B1">
              <w:rPr>
                <w:sz w:val="22"/>
                <w:szCs w:val="22"/>
              </w:rPr>
              <w:t>s</w:t>
            </w:r>
            <w:r w:rsidRPr="00C22832">
              <w:rPr>
                <w:sz w:val="22"/>
                <w:szCs w:val="22"/>
              </w:rPr>
              <w:t xml:space="preserve"> ERCOT Outage Capacity Reports</w:t>
            </w:r>
          </w:p>
          <w:p w:rsidR="00DC27AC" w:rsidRPr="00496E4D" w:rsidRDefault="00DC27AC" w:rsidP="00DC27AC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D602CF">
              <w:rPr>
                <w:sz w:val="22"/>
                <w:szCs w:val="22"/>
              </w:rPr>
              <w:t>What are the ways that a battery storage resource QSE can indicate their dispatch preferences in the real-time market?</w:t>
            </w:r>
          </w:p>
          <w:p w:rsidR="00DC27AC" w:rsidRPr="009A22B1" w:rsidRDefault="00DC27AC" w:rsidP="00DC27AC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D602CF">
              <w:rPr>
                <w:sz w:val="22"/>
                <w:szCs w:val="22"/>
              </w:rPr>
              <w:t>Considerations for limited duration resources</w:t>
            </w:r>
          </w:p>
          <w:p w:rsidR="00DC27AC" w:rsidRPr="00876CD0" w:rsidRDefault="00DC27AC" w:rsidP="00DC27AC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</w:tcPr>
          <w:p w:rsidR="00DC27AC" w:rsidRDefault="00DC27AC" w:rsidP="00DC27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Detelich</w:t>
            </w:r>
          </w:p>
          <w:p w:rsidR="00DC27AC" w:rsidRDefault="00DC27AC" w:rsidP="00DC27AC">
            <w:pPr>
              <w:rPr>
                <w:sz w:val="22"/>
                <w:szCs w:val="22"/>
              </w:rPr>
            </w:pPr>
          </w:p>
          <w:p w:rsidR="00DC27AC" w:rsidRDefault="00DC27AC" w:rsidP="00DC27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W. Lasher</w:t>
            </w:r>
          </w:p>
          <w:p w:rsidR="00DC27AC" w:rsidRPr="00496E4D" w:rsidRDefault="00DC27AC" w:rsidP="00DC27AC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</w:tcPr>
          <w:p w:rsidR="00DC27AC" w:rsidRPr="00496E4D" w:rsidRDefault="00DC27AC" w:rsidP="00DC27AC">
            <w:pPr>
              <w:jc w:val="right"/>
              <w:rPr>
                <w:sz w:val="22"/>
                <w:szCs w:val="22"/>
              </w:rPr>
            </w:pPr>
          </w:p>
        </w:tc>
      </w:tr>
      <w:tr w:rsidR="00DC27AC" w:rsidRPr="00496E4D" w:rsidTr="00E70952">
        <w:trPr>
          <w:trHeight w:val="360"/>
        </w:trPr>
        <w:tc>
          <w:tcPr>
            <w:tcW w:w="523" w:type="dxa"/>
          </w:tcPr>
          <w:p w:rsidR="00DC27AC" w:rsidRDefault="00DC27AC" w:rsidP="00DC27A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</w:p>
        </w:tc>
        <w:tc>
          <w:tcPr>
            <w:tcW w:w="5579" w:type="dxa"/>
          </w:tcPr>
          <w:p w:rsidR="00DC27AC" w:rsidRDefault="00DC27AC" w:rsidP="00DC27AC">
            <w:pPr>
              <w:rPr>
                <w:sz w:val="22"/>
                <w:szCs w:val="22"/>
              </w:rPr>
            </w:pPr>
            <w:r w:rsidRPr="0020393B">
              <w:rPr>
                <w:sz w:val="22"/>
                <w:szCs w:val="22"/>
              </w:rPr>
              <w:t>Market Restart and SCED failure</w:t>
            </w:r>
          </w:p>
          <w:p w:rsidR="00DC27AC" w:rsidRDefault="00DC27AC" w:rsidP="00DC27AC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Follow up presentation from ERCOT</w:t>
            </w:r>
          </w:p>
          <w:p w:rsidR="00DC27AC" w:rsidRPr="00C22832" w:rsidRDefault="00DC27AC" w:rsidP="00DC27AC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</w:tcPr>
          <w:p w:rsidR="00DC27AC" w:rsidRDefault="00DC27AC" w:rsidP="00DC27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Chen</w:t>
            </w:r>
          </w:p>
          <w:p w:rsidR="00DC27AC" w:rsidRPr="00496E4D" w:rsidRDefault="00DC27AC" w:rsidP="00DC27AC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</w:tcPr>
          <w:p w:rsidR="00DC27AC" w:rsidRPr="00496E4D" w:rsidRDefault="00DC27AC" w:rsidP="00DC27AC">
            <w:pPr>
              <w:jc w:val="right"/>
              <w:rPr>
                <w:sz w:val="22"/>
                <w:szCs w:val="22"/>
              </w:rPr>
            </w:pPr>
          </w:p>
        </w:tc>
      </w:tr>
      <w:tr w:rsidR="00DC27AC" w:rsidRPr="00496E4D" w:rsidTr="00E70952">
        <w:trPr>
          <w:trHeight w:val="360"/>
        </w:trPr>
        <w:tc>
          <w:tcPr>
            <w:tcW w:w="523" w:type="dxa"/>
          </w:tcPr>
          <w:p w:rsidR="00DC27AC" w:rsidRPr="00496E4D" w:rsidRDefault="00DC27AC" w:rsidP="00DC27A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496E4D">
              <w:rPr>
                <w:sz w:val="22"/>
                <w:szCs w:val="22"/>
              </w:rPr>
              <w:t>.</w:t>
            </w:r>
          </w:p>
        </w:tc>
        <w:tc>
          <w:tcPr>
            <w:tcW w:w="5579" w:type="dxa"/>
          </w:tcPr>
          <w:p w:rsidR="00DC27AC" w:rsidRDefault="00DC27AC" w:rsidP="00DC27AC">
            <w:pPr>
              <w:rPr>
                <w:sz w:val="22"/>
                <w:szCs w:val="22"/>
              </w:rPr>
            </w:pPr>
            <w:r w:rsidRPr="00273D07">
              <w:rPr>
                <w:sz w:val="22"/>
                <w:szCs w:val="22"/>
              </w:rPr>
              <w:t xml:space="preserve">Review </w:t>
            </w:r>
            <w:r w:rsidRPr="00344AC3">
              <w:rPr>
                <w:sz w:val="22"/>
                <w:szCs w:val="22"/>
              </w:rPr>
              <w:t xml:space="preserve">telemetry errors that impact ERCOT systems </w:t>
            </w:r>
          </w:p>
          <w:p w:rsidR="00DC27AC" w:rsidRDefault="00DC27AC" w:rsidP="00DC27AC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Logic changes in RLC recommendations from ERCOT</w:t>
            </w:r>
          </w:p>
          <w:p w:rsidR="00DC27AC" w:rsidRPr="005944C6" w:rsidRDefault="00DC27AC" w:rsidP="00DC27AC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Develop metrics</w:t>
            </w:r>
          </w:p>
          <w:p w:rsidR="00DC27AC" w:rsidRPr="00496E4D" w:rsidRDefault="00DC27AC" w:rsidP="00DC27AC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</w:tcPr>
          <w:p w:rsidR="00DC27AC" w:rsidRDefault="00DC27AC" w:rsidP="00DC27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Detelich</w:t>
            </w:r>
          </w:p>
          <w:p w:rsidR="00DC27AC" w:rsidRPr="00496E4D" w:rsidRDefault="00DC27AC" w:rsidP="00DC27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Mago</w:t>
            </w:r>
            <w:r w:rsidRPr="00496E4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8" w:type="dxa"/>
          </w:tcPr>
          <w:p w:rsidR="00DC27AC" w:rsidRPr="00496E4D" w:rsidRDefault="00DC27AC" w:rsidP="00DC27AC">
            <w:pPr>
              <w:jc w:val="right"/>
              <w:rPr>
                <w:sz w:val="22"/>
                <w:szCs w:val="22"/>
              </w:rPr>
            </w:pPr>
          </w:p>
        </w:tc>
      </w:tr>
      <w:tr w:rsidR="00DC27AC" w:rsidRPr="00496E4D" w:rsidTr="00E70952">
        <w:trPr>
          <w:trHeight w:val="360"/>
        </w:trPr>
        <w:tc>
          <w:tcPr>
            <w:tcW w:w="523" w:type="dxa"/>
          </w:tcPr>
          <w:p w:rsidR="00DC27AC" w:rsidRPr="00496E4D" w:rsidRDefault="00DC27AC" w:rsidP="00DC27A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496E4D">
              <w:rPr>
                <w:sz w:val="22"/>
                <w:szCs w:val="22"/>
              </w:rPr>
              <w:t>.</w:t>
            </w:r>
          </w:p>
        </w:tc>
        <w:tc>
          <w:tcPr>
            <w:tcW w:w="5579" w:type="dxa"/>
          </w:tcPr>
          <w:p w:rsidR="00DC27AC" w:rsidRPr="00496E4D" w:rsidRDefault="00DC27AC" w:rsidP="00DC27AC">
            <w:pPr>
              <w:rPr>
                <w:sz w:val="22"/>
                <w:szCs w:val="22"/>
              </w:rPr>
            </w:pPr>
            <w:r w:rsidRPr="00C22832">
              <w:rPr>
                <w:sz w:val="22"/>
                <w:szCs w:val="22"/>
              </w:rPr>
              <w:t>ERCOT Outage Capacity Reports</w:t>
            </w:r>
          </w:p>
        </w:tc>
        <w:tc>
          <w:tcPr>
            <w:tcW w:w="1728" w:type="dxa"/>
          </w:tcPr>
          <w:p w:rsidR="00DC27AC" w:rsidRPr="00496E4D" w:rsidRDefault="00DC27AC" w:rsidP="00DC27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Harvey</w:t>
            </w:r>
          </w:p>
        </w:tc>
        <w:tc>
          <w:tcPr>
            <w:tcW w:w="1188" w:type="dxa"/>
          </w:tcPr>
          <w:p w:rsidR="00DC27AC" w:rsidRPr="00496E4D" w:rsidRDefault="00DC27AC" w:rsidP="00DC27AC">
            <w:pPr>
              <w:jc w:val="right"/>
              <w:rPr>
                <w:sz w:val="22"/>
                <w:szCs w:val="22"/>
              </w:rPr>
            </w:pPr>
          </w:p>
        </w:tc>
      </w:tr>
      <w:tr w:rsidR="00DC27AC" w:rsidRPr="00496E4D" w:rsidTr="00E70952">
        <w:trPr>
          <w:trHeight w:val="360"/>
        </w:trPr>
        <w:tc>
          <w:tcPr>
            <w:tcW w:w="523" w:type="dxa"/>
          </w:tcPr>
          <w:p w:rsidR="00DC27AC" w:rsidRPr="00496E4D" w:rsidRDefault="00DC27AC" w:rsidP="00DC27A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579" w:type="dxa"/>
          </w:tcPr>
          <w:p w:rsidR="00DC27AC" w:rsidRDefault="00DC27AC" w:rsidP="00DC27AC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Follow up from ERCOT</w:t>
            </w:r>
          </w:p>
          <w:p w:rsidR="00DC27AC" w:rsidRPr="00600F54" w:rsidRDefault="00DC27AC" w:rsidP="00600F54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</w:tcPr>
          <w:p w:rsidR="00DC27AC" w:rsidRDefault="00DC27AC" w:rsidP="00DC27AC">
            <w:pPr>
              <w:rPr>
                <w:sz w:val="22"/>
                <w:szCs w:val="22"/>
              </w:rPr>
            </w:pPr>
          </w:p>
          <w:p w:rsidR="00DC27AC" w:rsidRPr="00496E4D" w:rsidRDefault="00DC27AC" w:rsidP="00DC27AC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</w:tcPr>
          <w:p w:rsidR="00DC27AC" w:rsidRPr="00496E4D" w:rsidRDefault="00DC27AC" w:rsidP="00DC27AC">
            <w:pPr>
              <w:jc w:val="right"/>
              <w:rPr>
                <w:sz w:val="22"/>
                <w:szCs w:val="22"/>
              </w:rPr>
            </w:pPr>
          </w:p>
        </w:tc>
      </w:tr>
      <w:tr w:rsidR="00DC27AC" w:rsidRPr="00496E4D" w:rsidTr="00E70952">
        <w:trPr>
          <w:trHeight w:val="360"/>
        </w:trPr>
        <w:tc>
          <w:tcPr>
            <w:tcW w:w="523" w:type="dxa"/>
          </w:tcPr>
          <w:p w:rsidR="00DC27AC" w:rsidRPr="00496E4D" w:rsidRDefault="00DC27AC" w:rsidP="00DC27A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 </w:t>
            </w:r>
          </w:p>
        </w:tc>
        <w:tc>
          <w:tcPr>
            <w:tcW w:w="5579" w:type="dxa"/>
          </w:tcPr>
          <w:p w:rsidR="00DC27AC" w:rsidRDefault="00DC27AC" w:rsidP="00DC27AC">
            <w:pPr>
              <w:rPr>
                <w:sz w:val="22"/>
                <w:szCs w:val="22"/>
              </w:rPr>
            </w:pPr>
            <w:r w:rsidRPr="00CA08B9">
              <w:rPr>
                <w:sz w:val="22"/>
                <w:szCs w:val="22"/>
              </w:rPr>
              <w:t>Evaluating Mitigated Offer for RUC Resources</w:t>
            </w:r>
          </w:p>
          <w:p w:rsidR="00DC27AC" w:rsidRPr="00CA08B9" w:rsidRDefault="00DC27AC" w:rsidP="00DC27AC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</w:tcPr>
          <w:p w:rsidR="00DC27AC" w:rsidRDefault="00DC27AC" w:rsidP="00DC27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Detelich</w:t>
            </w:r>
          </w:p>
          <w:p w:rsidR="00DC27AC" w:rsidRDefault="00DC27AC" w:rsidP="00DC27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Surendan</w:t>
            </w:r>
          </w:p>
          <w:p w:rsidR="00DC27AC" w:rsidRDefault="00DC27AC" w:rsidP="00DC27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Siddiqi</w:t>
            </w:r>
          </w:p>
          <w:p w:rsidR="00DC27AC" w:rsidRDefault="00DC27AC" w:rsidP="00DC27AC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</w:tcPr>
          <w:p w:rsidR="00DC27AC" w:rsidRPr="00496E4D" w:rsidRDefault="00DC27AC" w:rsidP="00DC27AC">
            <w:pPr>
              <w:jc w:val="right"/>
              <w:rPr>
                <w:sz w:val="22"/>
                <w:szCs w:val="22"/>
              </w:rPr>
            </w:pPr>
          </w:p>
        </w:tc>
      </w:tr>
      <w:tr w:rsidR="00DC27AC" w:rsidRPr="00496E4D" w:rsidTr="00E70952">
        <w:trPr>
          <w:trHeight w:val="360"/>
        </w:trPr>
        <w:tc>
          <w:tcPr>
            <w:tcW w:w="523" w:type="dxa"/>
          </w:tcPr>
          <w:p w:rsidR="00DC27AC" w:rsidRPr="00496E4D" w:rsidRDefault="00DC27AC" w:rsidP="00DC27A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496E4D">
              <w:rPr>
                <w:sz w:val="22"/>
                <w:szCs w:val="22"/>
              </w:rPr>
              <w:t>.</w:t>
            </w:r>
          </w:p>
        </w:tc>
        <w:tc>
          <w:tcPr>
            <w:tcW w:w="5579" w:type="dxa"/>
          </w:tcPr>
          <w:p w:rsidR="00DC27AC" w:rsidRPr="00496E4D" w:rsidRDefault="00DC27AC" w:rsidP="00DC27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business</w:t>
            </w:r>
          </w:p>
        </w:tc>
        <w:tc>
          <w:tcPr>
            <w:tcW w:w="1728" w:type="dxa"/>
          </w:tcPr>
          <w:p w:rsidR="00DC27AC" w:rsidRPr="00496E4D" w:rsidRDefault="00DC27AC" w:rsidP="00DC27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Detelich</w:t>
            </w:r>
          </w:p>
        </w:tc>
        <w:tc>
          <w:tcPr>
            <w:tcW w:w="1188" w:type="dxa"/>
          </w:tcPr>
          <w:p w:rsidR="00DC27AC" w:rsidRPr="00496E4D" w:rsidRDefault="00DC27AC" w:rsidP="00DC27AC">
            <w:pPr>
              <w:jc w:val="right"/>
              <w:rPr>
                <w:sz w:val="22"/>
                <w:szCs w:val="22"/>
              </w:rPr>
            </w:pPr>
          </w:p>
        </w:tc>
      </w:tr>
      <w:tr w:rsidR="00DC27AC" w:rsidRPr="00496E4D" w:rsidTr="00E70952">
        <w:trPr>
          <w:trHeight w:val="360"/>
        </w:trPr>
        <w:tc>
          <w:tcPr>
            <w:tcW w:w="523" w:type="dxa"/>
          </w:tcPr>
          <w:p w:rsidR="00DC27AC" w:rsidRPr="00496E4D" w:rsidRDefault="00DC27AC" w:rsidP="00DC27A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579" w:type="dxa"/>
          </w:tcPr>
          <w:p w:rsidR="00DC27AC" w:rsidRPr="00496E4D" w:rsidRDefault="00DC27AC" w:rsidP="00DC27AC">
            <w:pPr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>Adjourn</w:t>
            </w:r>
          </w:p>
        </w:tc>
        <w:tc>
          <w:tcPr>
            <w:tcW w:w="1728" w:type="dxa"/>
          </w:tcPr>
          <w:p w:rsidR="00DC27AC" w:rsidRPr="00496E4D" w:rsidRDefault="00DC27AC" w:rsidP="00DC27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Detelich</w:t>
            </w:r>
            <w:r w:rsidRPr="00496E4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8" w:type="dxa"/>
          </w:tcPr>
          <w:p w:rsidR="00DC27AC" w:rsidRPr="00496E4D" w:rsidRDefault="00DC27AC" w:rsidP="00DC27A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</w:t>
            </w:r>
            <w:r w:rsidRPr="00496E4D">
              <w:rPr>
                <w:sz w:val="22"/>
                <w:szCs w:val="22"/>
              </w:rPr>
              <w:t>30 p.m.</w:t>
            </w:r>
          </w:p>
        </w:tc>
      </w:tr>
      <w:tr w:rsidR="00DC27AC" w:rsidRPr="00496E4D" w:rsidTr="00E70952">
        <w:trPr>
          <w:trHeight w:val="360"/>
        </w:trPr>
        <w:tc>
          <w:tcPr>
            <w:tcW w:w="523" w:type="dxa"/>
          </w:tcPr>
          <w:p w:rsidR="00DC27AC" w:rsidRPr="00496E4D" w:rsidRDefault="00DC27AC" w:rsidP="00DC27AC">
            <w:pPr>
              <w:rPr>
                <w:sz w:val="22"/>
                <w:szCs w:val="22"/>
              </w:rPr>
            </w:pPr>
          </w:p>
        </w:tc>
        <w:tc>
          <w:tcPr>
            <w:tcW w:w="5579" w:type="dxa"/>
          </w:tcPr>
          <w:p w:rsidR="00DC27AC" w:rsidRPr="00496E4D" w:rsidRDefault="00DC27AC" w:rsidP="00DC27AC">
            <w:pPr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 xml:space="preserve">Future Meetings </w:t>
            </w:r>
            <w:r>
              <w:rPr>
                <w:sz w:val="22"/>
                <w:szCs w:val="22"/>
              </w:rPr>
              <w:t>- August</w:t>
            </w:r>
            <w:r w:rsidRPr="00167B1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19</w:t>
            </w:r>
            <w:r w:rsidRPr="00167B1D">
              <w:rPr>
                <w:sz w:val="22"/>
                <w:szCs w:val="22"/>
              </w:rPr>
              <w:t>, 2019</w:t>
            </w:r>
          </w:p>
        </w:tc>
        <w:tc>
          <w:tcPr>
            <w:tcW w:w="1728" w:type="dxa"/>
          </w:tcPr>
          <w:p w:rsidR="00DC27AC" w:rsidRPr="00496E4D" w:rsidRDefault="00DC27AC" w:rsidP="00DC27AC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</w:tcPr>
          <w:p w:rsidR="00DC27AC" w:rsidRPr="00496E4D" w:rsidRDefault="00DC27AC" w:rsidP="00DC27AC">
            <w:pPr>
              <w:jc w:val="right"/>
              <w:rPr>
                <w:sz w:val="22"/>
                <w:szCs w:val="22"/>
              </w:rPr>
            </w:pPr>
          </w:p>
        </w:tc>
      </w:tr>
      <w:bookmarkEnd w:id="0"/>
      <w:bookmarkEnd w:id="1"/>
      <w:bookmarkEnd w:id="2"/>
      <w:bookmarkEnd w:id="3"/>
    </w:tbl>
    <w:p w:rsidR="0077634F" w:rsidRPr="004D3BDA" w:rsidRDefault="0077634F" w:rsidP="0077634F">
      <w:pPr>
        <w:rPr>
          <w:sz w:val="22"/>
          <w:szCs w:val="22"/>
        </w:rPr>
      </w:pPr>
    </w:p>
    <w:p w:rsidR="0077634F" w:rsidRPr="004D3BDA" w:rsidRDefault="0077634F" w:rsidP="0077634F">
      <w:pPr>
        <w:rPr>
          <w:sz w:val="22"/>
          <w:szCs w:val="22"/>
        </w:rPr>
      </w:pPr>
    </w:p>
    <w:tbl>
      <w:tblPr>
        <w:tblW w:w="900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0"/>
        <w:gridCol w:w="2340"/>
      </w:tblGrid>
      <w:tr w:rsidR="0077634F" w:rsidRPr="004D3BDA" w:rsidTr="005C1B10">
        <w:trPr>
          <w:trHeight w:val="360"/>
          <w:tblHeader/>
        </w:trPr>
        <w:tc>
          <w:tcPr>
            <w:tcW w:w="6660" w:type="dxa"/>
            <w:vAlign w:val="center"/>
          </w:tcPr>
          <w:p w:rsidR="0077634F" w:rsidRPr="004D3BDA" w:rsidRDefault="0077634F" w:rsidP="005C1B10">
            <w:pPr>
              <w:rPr>
                <w:b/>
                <w:sz w:val="22"/>
                <w:szCs w:val="22"/>
                <w:u w:val="single"/>
              </w:rPr>
            </w:pPr>
            <w:r w:rsidRPr="004D3BDA">
              <w:rPr>
                <w:sz w:val="22"/>
                <w:szCs w:val="22"/>
              </w:rPr>
              <w:br w:type="page"/>
            </w:r>
            <w:r w:rsidRPr="004D3BDA">
              <w:rPr>
                <w:b/>
                <w:sz w:val="22"/>
                <w:szCs w:val="22"/>
                <w:u w:val="single"/>
              </w:rPr>
              <w:t>Open Action Items</w:t>
            </w:r>
          </w:p>
        </w:tc>
        <w:tc>
          <w:tcPr>
            <w:tcW w:w="2340" w:type="dxa"/>
            <w:vAlign w:val="center"/>
          </w:tcPr>
          <w:p w:rsidR="0077634F" w:rsidRPr="004D3BDA" w:rsidRDefault="00167B1D" w:rsidP="005C1B10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Notes</w:t>
            </w:r>
          </w:p>
        </w:tc>
      </w:tr>
      <w:tr w:rsidR="00167B1D" w:rsidRPr="004D3BDA" w:rsidTr="005C1B10">
        <w:trPr>
          <w:trHeight w:val="360"/>
          <w:tblHeader/>
        </w:trPr>
        <w:tc>
          <w:tcPr>
            <w:tcW w:w="6660" w:type="dxa"/>
            <w:vAlign w:val="center"/>
          </w:tcPr>
          <w:p w:rsidR="00167B1D" w:rsidRDefault="00225BC5" w:rsidP="005C1B10">
            <w:pPr>
              <w:rPr>
                <w:sz w:val="22"/>
                <w:szCs w:val="22"/>
              </w:rPr>
            </w:pPr>
            <w:r w:rsidRPr="00225BC5">
              <w:rPr>
                <w:sz w:val="22"/>
                <w:szCs w:val="22"/>
              </w:rPr>
              <w:t>Switchable Generation Resource Demand Side Working Group (DSWG) Whitepaper - include notification requirements of Resources switchable to other Control Areas</w:t>
            </w:r>
          </w:p>
        </w:tc>
        <w:tc>
          <w:tcPr>
            <w:tcW w:w="2340" w:type="dxa"/>
            <w:vAlign w:val="center"/>
          </w:tcPr>
          <w:p w:rsidR="00167B1D" w:rsidRPr="004D2501" w:rsidRDefault="00225BC5" w:rsidP="005C1B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 Hold</w:t>
            </w:r>
          </w:p>
        </w:tc>
      </w:tr>
      <w:tr w:rsidR="00225BC5" w:rsidRPr="004D3BDA" w:rsidTr="005C1B10">
        <w:trPr>
          <w:trHeight w:val="360"/>
          <w:tblHeader/>
        </w:trPr>
        <w:tc>
          <w:tcPr>
            <w:tcW w:w="6660" w:type="dxa"/>
            <w:vAlign w:val="center"/>
          </w:tcPr>
          <w:p w:rsidR="00225BC5" w:rsidRPr="00225BC5" w:rsidRDefault="00225BC5" w:rsidP="00225BC5">
            <w:pPr>
              <w:rPr>
                <w:sz w:val="22"/>
                <w:szCs w:val="22"/>
              </w:rPr>
            </w:pPr>
            <w:r w:rsidRPr="00225BC5">
              <w:rPr>
                <w:sz w:val="22"/>
                <w:szCs w:val="22"/>
              </w:rPr>
              <w:t>Reliability Unit Commitment (RUC) commitments:</w:t>
            </w:r>
          </w:p>
          <w:p w:rsidR="00225BC5" w:rsidRPr="00225BC5" w:rsidRDefault="00225BC5" w:rsidP="00225BC5">
            <w:pPr>
              <w:rPr>
                <w:sz w:val="22"/>
                <w:szCs w:val="22"/>
              </w:rPr>
            </w:pPr>
            <w:r w:rsidRPr="00225BC5">
              <w:rPr>
                <w:sz w:val="22"/>
                <w:szCs w:val="22"/>
              </w:rPr>
              <w:t>•</w:t>
            </w:r>
            <w:r w:rsidRPr="00225BC5">
              <w:rPr>
                <w:sz w:val="22"/>
                <w:szCs w:val="22"/>
              </w:rPr>
              <w:tab/>
              <w:t>Identify specific NERC obligations to Justify a RUC</w:t>
            </w:r>
          </w:p>
          <w:p w:rsidR="00225BC5" w:rsidRPr="00225BC5" w:rsidRDefault="00225BC5" w:rsidP="00225BC5">
            <w:pPr>
              <w:rPr>
                <w:sz w:val="22"/>
                <w:szCs w:val="22"/>
              </w:rPr>
            </w:pPr>
            <w:r w:rsidRPr="00225BC5">
              <w:rPr>
                <w:sz w:val="22"/>
                <w:szCs w:val="22"/>
              </w:rPr>
              <w:t>•</w:t>
            </w:r>
            <w:r w:rsidRPr="00225BC5">
              <w:rPr>
                <w:sz w:val="22"/>
                <w:szCs w:val="22"/>
              </w:rPr>
              <w:tab/>
              <w:t>Limitations for delay of decision to RUC.</w:t>
            </w:r>
          </w:p>
          <w:p w:rsidR="00225BC5" w:rsidRPr="00225BC5" w:rsidRDefault="00225BC5" w:rsidP="00225BC5">
            <w:pPr>
              <w:rPr>
                <w:sz w:val="22"/>
                <w:szCs w:val="22"/>
              </w:rPr>
            </w:pPr>
            <w:r w:rsidRPr="00225BC5">
              <w:rPr>
                <w:sz w:val="22"/>
                <w:szCs w:val="22"/>
              </w:rPr>
              <w:t>o</w:t>
            </w:r>
            <w:r w:rsidRPr="00225BC5">
              <w:rPr>
                <w:sz w:val="22"/>
                <w:szCs w:val="22"/>
              </w:rPr>
              <w:tab/>
              <w:t>If tipping scale in favor of delay, what is mechanism</w:t>
            </w:r>
          </w:p>
          <w:p w:rsidR="00225BC5" w:rsidRPr="00225BC5" w:rsidRDefault="00225BC5" w:rsidP="00225BC5">
            <w:pPr>
              <w:rPr>
                <w:sz w:val="22"/>
                <w:szCs w:val="22"/>
              </w:rPr>
            </w:pPr>
            <w:r w:rsidRPr="00225BC5">
              <w:rPr>
                <w:sz w:val="22"/>
                <w:szCs w:val="22"/>
              </w:rPr>
              <w:t>•</w:t>
            </w:r>
            <w:r w:rsidRPr="00225BC5">
              <w:rPr>
                <w:sz w:val="22"/>
                <w:szCs w:val="22"/>
              </w:rPr>
              <w:tab/>
              <w:t>Should Ancillary Services penalty curves for RUC be modified</w:t>
            </w:r>
          </w:p>
          <w:p w:rsidR="00225BC5" w:rsidRPr="00225BC5" w:rsidRDefault="00225BC5" w:rsidP="00225BC5">
            <w:pPr>
              <w:rPr>
                <w:sz w:val="22"/>
                <w:szCs w:val="22"/>
              </w:rPr>
            </w:pPr>
            <w:r w:rsidRPr="00225BC5">
              <w:rPr>
                <w:sz w:val="22"/>
                <w:szCs w:val="22"/>
              </w:rPr>
              <w:t>•</w:t>
            </w:r>
            <w:r w:rsidRPr="00225BC5">
              <w:rPr>
                <w:sz w:val="22"/>
                <w:szCs w:val="22"/>
              </w:rPr>
              <w:tab/>
              <w:t>Prescreen info for operators</w:t>
            </w:r>
          </w:p>
          <w:p w:rsidR="00225BC5" w:rsidRPr="00225BC5" w:rsidRDefault="00225BC5" w:rsidP="00225BC5">
            <w:pPr>
              <w:rPr>
                <w:sz w:val="22"/>
                <w:szCs w:val="22"/>
              </w:rPr>
            </w:pPr>
            <w:r w:rsidRPr="00225BC5">
              <w:rPr>
                <w:sz w:val="22"/>
                <w:szCs w:val="22"/>
              </w:rPr>
              <w:t>•</w:t>
            </w:r>
            <w:r w:rsidRPr="00225BC5">
              <w:rPr>
                <w:sz w:val="22"/>
                <w:szCs w:val="22"/>
              </w:rPr>
              <w:tab/>
              <w:t>Impact to market and mechanisms to mitigate impacts</w:t>
            </w:r>
          </w:p>
        </w:tc>
        <w:tc>
          <w:tcPr>
            <w:tcW w:w="2340" w:type="dxa"/>
            <w:vAlign w:val="center"/>
          </w:tcPr>
          <w:p w:rsidR="00225BC5" w:rsidRPr="00225BC5" w:rsidRDefault="00225BC5" w:rsidP="005C1B10">
            <w:pPr>
              <w:rPr>
                <w:sz w:val="22"/>
                <w:szCs w:val="22"/>
              </w:rPr>
            </w:pPr>
            <w:r w:rsidRPr="00225BC5">
              <w:rPr>
                <w:sz w:val="22"/>
                <w:szCs w:val="22"/>
              </w:rPr>
              <w:t>11/01/2017</w:t>
            </w:r>
          </w:p>
        </w:tc>
      </w:tr>
      <w:tr w:rsidR="00225BC5" w:rsidRPr="004D3BDA" w:rsidTr="00F64773">
        <w:trPr>
          <w:trHeight w:val="360"/>
          <w:tblHeader/>
        </w:trPr>
        <w:tc>
          <w:tcPr>
            <w:tcW w:w="6660" w:type="dxa"/>
          </w:tcPr>
          <w:p w:rsidR="00225BC5" w:rsidRDefault="00225BC5" w:rsidP="00225BC5">
            <w:r w:rsidRPr="00DB5FF3">
              <w:t>Review concept of establishing a minimum threshold to post Total Wholesale Storage Load (WSL), utilization of Real-Time telemetry, and Resource disclosures</w:t>
            </w:r>
          </w:p>
        </w:tc>
        <w:tc>
          <w:tcPr>
            <w:tcW w:w="2340" w:type="dxa"/>
          </w:tcPr>
          <w:p w:rsidR="00225BC5" w:rsidRDefault="00225BC5" w:rsidP="00225BC5">
            <w:r w:rsidRPr="00225BC5">
              <w:t>02/28/2018</w:t>
            </w:r>
          </w:p>
        </w:tc>
      </w:tr>
      <w:tr w:rsidR="00225BC5" w:rsidRPr="004D3BDA" w:rsidTr="00F64773">
        <w:trPr>
          <w:trHeight w:val="360"/>
          <w:tblHeader/>
        </w:trPr>
        <w:tc>
          <w:tcPr>
            <w:tcW w:w="6660" w:type="dxa"/>
          </w:tcPr>
          <w:p w:rsidR="00225BC5" w:rsidRPr="00DB5FF3" w:rsidRDefault="00225BC5" w:rsidP="00225BC5">
            <w:r w:rsidRPr="00225BC5">
              <w:t xml:space="preserve">Review the issues of RENA and Load Distribution Factors (LDFs) and price floors  </w:t>
            </w:r>
          </w:p>
        </w:tc>
        <w:tc>
          <w:tcPr>
            <w:tcW w:w="2340" w:type="dxa"/>
          </w:tcPr>
          <w:p w:rsidR="00225BC5" w:rsidRPr="00225BC5" w:rsidRDefault="00225BC5" w:rsidP="00225BC5">
            <w:r w:rsidRPr="00225BC5">
              <w:t>02/28/2018</w:t>
            </w:r>
          </w:p>
        </w:tc>
      </w:tr>
      <w:tr w:rsidR="00225BC5" w:rsidRPr="004D3BDA" w:rsidTr="00F64773">
        <w:trPr>
          <w:trHeight w:val="360"/>
          <w:tblHeader/>
        </w:trPr>
        <w:tc>
          <w:tcPr>
            <w:tcW w:w="6660" w:type="dxa"/>
          </w:tcPr>
          <w:p w:rsidR="00225BC5" w:rsidRPr="00225BC5" w:rsidRDefault="00225BC5" w:rsidP="00225BC5">
            <w:r w:rsidRPr="00225BC5">
              <w:t>Deep Dive of potential issues in  the Low System-Wide Offer Cap (LCAP) Methodology if cumulative Peaker Net Margin (PNM) exceeds $315,000/Megawatts (MW) year and there are insufficient Ancillary Service offers in the Day-Ahead Market (DAM)</w:t>
            </w:r>
          </w:p>
        </w:tc>
        <w:tc>
          <w:tcPr>
            <w:tcW w:w="2340" w:type="dxa"/>
          </w:tcPr>
          <w:p w:rsidR="00225BC5" w:rsidRPr="00225BC5" w:rsidRDefault="00225BC5" w:rsidP="00225BC5">
            <w:r w:rsidRPr="00225BC5">
              <w:t>05/02/2018</w:t>
            </w:r>
          </w:p>
        </w:tc>
      </w:tr>
      <w:tr w:rsidR="00225BC5" w:rsidRPr="004D3BDA" w:rsidTr="00F64773">
        <w:trPr>
          <w:trHeight w:val="360"/>
          <w:tblHeader/>
        </w:trPr>
        <w:tc>
          <w:tcPr>
            <w:tcW w:w="6660" w:type="dxa"/>
          </w:tcPr>
          <w:p w:rsidR="00225BC5" w:rsidRPr="00225BC5" w:rsidRDefault="003D7664" w:rsidP="00225BC5">
            <w:r w:rsidRPr="003D7664">
              <w:t>TAC Assignment:  Review the commercial impacts of  DC Tie Curtailments</w:t>
            </w:r>
          </w:p>
        </w:tc>
        <w:tc>
          <w:tcPr>
            <w:tcW w:w="2340" w:type="dxa"/>
          </w:tcPr>
          <w:p w:rsidR="00225BC5" w:rsidRPr="00225BC5" w:rsidRDefault="00225BC5" w:rsidP="00225BC5"/>
        </w:tc>
      </w:tr>
      <w:tr w:rsidR="003D7664" w:rsidRPr="004D3BDA" w:rsidTr="00960CF9">
        <w:trPr>
          <w:trHeight w:val="360"/>
          <w:tblHeader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4" w:rsidRDefault="003D7664" w:rsidP="003D76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NPRR838, </w:t>
            </w:r>
            <w:r w:rsidRPr="00253D7A">
              <w:rPr>
                <w:sz w:val="22"/>
                <w:szCs w:val="22"/>
              </w:rPr>
              <w:t xml:space="preserve"> Updated O&amp;M Cost for RMR Resources</w:t>
            </w:r>
          </w:p>
        </w:tc>
        <w:tc>
          <w:tcPr>
            <w:tcW w:w="2340" w:type="dxa"/>
          </w:tcPr>
          <w:p w:rsidR="003D7664" w:rsidRPr="00225BC5" w:rsidRDefault="003D7664" w:rsidP="003D7664"/>
        </w:tc>
      </w:tr>
      <w:tr w:rsidR="003D7664" w:rsidRPr="004D3BDA" w:rsidTr="00960CF9">
        <w:trPr>
          <w:trHeight w:val="360"/>
          <w:tblHeader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4" w:rsidRDefault="003D7664" w:rsidP="003D76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NPRR872, </w:t>
            </w:r>
            <w:r w:rsidRPr="00C916B6">
              <w:rPr>
                <w:bCs/>
                <w:sz w:val="22"/>
                <w:szCs w:val="22"/>
              </w:rPr>
              <w:t xml:space="preserve"> Modifying the SASM Shadow Price Cap</w:t>
            </w:r>
          </w:p>
        </w:tc>
        <w:tc>
          <w:tcPr>
            <w:tcW w:w="2340" w:type="dxa"/>
          </w:tcPr>
          <w:p w:rsidR="003D7664" w:rsidRPr="00225BC5" w:rsidRDefault="003D7664" w:rsidP="003D7664"/>
        </w:tc>
      </w:tr>
      <w:tr w:rsidR="003D7664" w:rsidRPr="004D3BDA" w:rsidTr="00960CF9">
        <w:trPr>
          <w:trHeight w:val="360"/>
          <w:tblHeader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4" w:rsidRDefault="003D7664" w:rsidP="003D7664">
            <w:pPr>
              <w:rPr>
                <w:sz w:val="22"/>
                <w:szCs w:val="22"/>
              </w:rPr>
            </w:pPr>
            <w:r w:rsidRPr="003D7664">
              <w:rPr>
                <w:sz w:val="22"/>
                <w:szCs w:val="22"/>
              </w:rPr>
              <w:t>Market Issues related to compensation for Reliability Unit Commitment (RUC) Switchable Generation Resources</w:t>
            </w:r>
          </w:p>
        </w:tc>
        <w:tc>
          <w:tcPr>
            <w:tcW w:w="2340" w:type="dxa"/>
          </w:tcPr>
          <w:p w:rsidR="003D7664" w:rsidRPr="00225BC5" w:rsidRDefault="003D7664" w:rsidP="003D7664"/>
        </w:tc>
      </w:tr>
      <w:tr w:rsidR="003D7664" w:rsidRPr="004D3BDA" w:rsidTr="00960CF9">
        <w:trPr>
          <w:trHeight w:val="360"/>
          <w:tblHeader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4" w:rsidRPr="00422F32" w:rsidRDefault="003D7664" w:rsidP="003D7664">
            <w:pPr>
              <w:rPr>
                <w:sz w:val="22"/>
                <w:szCs w:val="22"/>
              </w:rPr>
            </w:pPr>
            <w:r w:rsidRPr="00422F32">
              <w:rPr>
                <w:sz w:val="22"/>
                <w:szCs w:val="22"/>
              </w:rPr>
              <w:t>Workshop:  Must Run Alternative (MRA) and Load Resource deployments for Local Congestion</w:t>
            </w:r>
          </w:p>
        </w:tc>
        <w:tc>
          <w:tcPr>
            <w:tcW w:w="2340" w:type="dxa"/>
          </w:tcPr>
          <w:p w:rsidR="003D7664" w:rsidRPr="00225BC5" w:rsidRDefault="003D7664" w:rsidP="003D7664"/>
        </w:tc>
      </w:tr>
      <w:tr w:rsidR="003D7664" w:rsidRPr="004D3BDA" w:rsidTr="00960CF9">
        <w:trPr>
          <w:trHeight w:val="360"/>
          <w:tblHeader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4" w:rsidRPr="00F56E15" w:rsidRDefault="003D7664" w:rsidP="003D7664">
            <w:pPr>
              <w:rPr>
                <w:sz w:val="22"/>
                <w:szCs w:val="22"/>
              </w:rPr>
            </w:pPr>
            <w:r w:rsidRPr="00F56E15">
              <w:rPr>
                <w:sz w:val="22"/>
                <w:szCs w:val="22"/>
              </w:rPr>
              <w:t xml:space="preserve">Next Steps for NPRR664:  Fuel Index Price for Resource Definition and Real-Time Make-Whole Payments for Exceptional Fuel Cost Events - </w:t>
            </w:r>
          </w:p>
        </w:tc>
        <w:tc>
          <w:tcPr>
            <w:tcW w:w="2340" w:type="dxa"/>
          </w:tcPr>
          <w:p w:rsidR="003D7664" w:rsidRPr="00225BC5" w:rsidRDefault="003D7664" w:rsidP="003D7664"/>
        </w:tc>
      </w:tr>
      <w:tr w:rsidR="003D7664" w:rsidRPr="004D3BDA" w:rsidTr="00960CF9">
        <w:trPr>
          <w:trHeight w:val="360"/>
          <w:tblHeader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4" w:rsidRPr="00F56E15" w:rsidRDefault="003D7664" w:rsidP="003D76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Review </w:t>
            </w:r>
            <w:r w:rsidRPr="00F56E15">
              <w:rPr>
                <w:sz w:val="22"/>
                <w:szCs w:val="22"/>
              </w:rPr>
              <w:t>price formation impacts from ERCOT out-of-market actions related to DC Ties, including the Operating Reserve Demand Curve (ORDC) price adders and the impacts on Locational Marginal Prices (LMPs) from the Real-Time On-Line Reliability Deployment Price Adder</w:t>
            </w:r>
          </w:p>
        </w:tc>
        <w:tc>
          <w:tcPr>
            <w:tcW w:w="2340" w:type="dxa"/>
          </w:tcPr>
          <w:p w:rsidR="003D7664" w:rsidRPr="00225BC5" w:rsidRDefault="003D7664" w:rsidP="003D7664"/>
        </w:tc>
      </w:tr>
      <w:tr w:rsidR="003D7664" w:rsidRPr="004D3BDA" w:rsidTr="00960CF9">
        <w:trPr>
          <w:trHeight w:val="360"/>
          <w:tblHeader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4" w:rsidRDefault="003D7664" w:rsidP="003D76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Review a </w:t>
            </w:r>
            <w:r w:rsidRPr="002F05AD">
              <w:rPr>
                <w:sz w:val="22"/>
                <w:szCs w:val="22"/>
              </w:rPr>
              <w:t xml:space="preserve">comprehensive analysis of the impacts of NPRR864 </w:t>
            </w:r>
            <w:r>
              <w:rPr>
                <w:sz w:val="22"/>
                <w:szCs w:val="22"/>
              </w:rPr>
              <w:t xml:space="preserve">from ERCOT </w:t>
            </w:r>
            <w:r w:rsidRPr="002F05AD">
              <w:rPr>
                <w:sz w:val="22"/>
                <w:szCs w:val="22"/>
              </w:rPr>
              <w:t xml:space="preserve">and review the information in the RUC report </w:t>
            </w:r>
            <w:r>
              <w:rPr>
                <w:sz w:val="22"/>
                <w:szCs w:val="22"/>
              </w:rPr>
              <w:t>and provide recommendations to WMS</w:t>
            </w:r>
          </w:p>
        </w:tc>
        <w:tc>
          <w:tcPr>
            <w:tcW w:w="2340" w:type="dxa"/>
          </w:tcPr>
          <w:p w:rsidR="003D7664" w:rsidRPr="00225BC5" w:rsidRDefault="003D7664" w:rsidP="003D7664"/>
        </w:tc>
      </w:tr>
      <w:tr w:rsidR="003D7664" w:rsidRPr="004D3BDA" w:rsidTr="00960CF9">
        <w:trPr>
          <w:trHeight w:val="360"/>
          <w:tblHeader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4" w:rsidRPr="003D7664" w:rsidRDefault="003D7664" w:rsidP="003D7664">
            <w:pPr>
              <w:rPr>
                <w:sz w:val="22"/>
                <w:szCs w:val="22"/>
              </w:rPr>
            </w:pPr>
            <w:r w:rsidRPr="003D7664">
              <w:rPr>
                <w:sz w:val="22"/>
                <w:szCs w:val="22"/>
              </w:rPr>
              <w:t xml:space="preserve">Look at performance of Reliability Deployment Price Adder during the RUC events on 10/4/18 ask that ERCOT prepare a detailed review - specifically fluctuations of the adder between zero and non-zero values that aren’t intuitive, and review the methodology to calculate the adder.  </w:t>
            </w:r>
          </w:p>
        </w:tc>
        <w:tc>
          <w:tcPr>
            <w:tcW w:w="2340" w:type="dxa"/>
          </w:tcPr>
          <w:p w:rsidR="003D7664" w:rsidRPr="00225BC5" w:rsidRDefault="003D7664" w:rsidP="003D7664"/>
        </w:tc>
      </w:tr>
      <w:tr w:rsidR="009D7146" w:rsidRPr="004D3BDA" w:rsidTr="00960CF9">
        <w:trPr>
          <w:trHeight w:val="360"/>
          <w:tblHeader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46" w:rsidRDefault="009D7146" w:rsidP="009D7146">
            <w:r w:rsidRPr="00CC27DA">
              <w:t>Market Suspension and Restart</w:t>
            </w:r>
            <w:r>
              <w:t xml:space="preserve"> – Gaps and other issues that NPRR 850 did not address</w:t>
            </w:r>
            <w:r w:rsidR="008C5516">
              <w:t xml:space="preserve">; </w:t>
            </w:r>
            <w:r w:rsidR="008C5516" w:rsidRPr="008C5516">
              <w:t>restart mechanics and pricing impacts</w:t>
            </w:r>
          </w:p>
        </w:tc>
        <w:tc>
          <w:tcPr>
            <w:tcW w:w="2340" w:type="dxa"/>
          </w:tcPr>
          <w:p w:rsidR="009D7146" w:rsidRDefault="009D7146" w:rsidP="009D7146">
            <w:r>
              <w:t>New item</w:t>
            </w:r>
          </w:p>
        </w:tc>
      </w:tr>
    </w:tbl>
    <w:p w:rsidR="0077634F" w:rsidRPr="004D3BDA" w:rsidRDefault="0077634F" w:rsidP="0077634F">
      <w:pPr>
        <w:rPr>
          <w:sz w:val="22"/>
          <w:szCs w:val="22"/>
        </w:rPr>
      </w:pPr>
    </w:p>
    <w:p w:rsidR="0077634F" w:rsidRPr="004D3BDA" w:rsidRDefault="0077634F" w:rsidP="0077634F">
      <w:pPr>
        <w:rPr>
          <w:sz w:val="22"/>
          <w:szCs w:val="22"/>
        </w:rPr>
      </w:pPr>
    </w:p>
    <w:p w:rsidR="0077634F" w:rsidRDefault="0077634F" w:rsidP="00EB32F5">
      <w:pPr>
        <w:rPr>
          <w:b/>
          <w:sz w:val="22"/>
          <w:szCs w:val="22"/>
        </w:rPr>
      </w:pPr>
    </w:p>
    <w:p w:rsidR="0077634F" w:rsidRDefault="0077634F" w:rsidP="00EB32F5">
      <w:pPr>
        <w:rPr>
          <w:b/>
          <w:sz w:val="22"/>
          <w:szCs w:val="22"/>
        </w:rPr>
      </w:pPr>
    </w:p>
    <w:p w:rsidR="0077634F" w:rsidRPr="00D512BE" w:rsidRDefault="0077634F" w:rsidP="00D512BE">
      <w:pPr>
        <w:tabs>
          <w:tab w:val="left" w:pos="3192"/>
        </w:tabs>
        <w:rPr>
          <w:sz w:val="22"/>
          <w:szCs w:val="22"/>
        </w:rPr>
      </w:pPr>
    </w:p>
    <w:sectPr w:rsidR="0077634F" w:rsidRPr="00D512BE" w:rsidSect="00535121">
      <w:headerReference w:type="default" r:id="rId9"/>
      <w:footerReference w:type="default" r:id="rId10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629" w:rsidRDefault="00165629">
      <w:r>
        <w:separator/>
      </w:r>
    </w:p>
  </w:endnote>
  <w:endnote w:type="continuationSeparator" w:id="0">
    <w:p w:rsidR="00165629" w:rsidRDefault="00165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B3B" w:rsidRDefault="008F3A3F">
    <w:pPr>
      <w:pStyle w:val="Footer"/>
    </w:pPr>
    <w:r>
      <w:t>2</w:t>
    </w:r>
    <w:r w:rsidR="00D512BE">
      <w:t>01</w:t>
    </w:r>
    <w:r w:rsidR="00C8285A">
      <w:t>9</w:t>
    </w:r>
    <w:r w:rsidR="00D512BE">
      <w:t>0</w:t>
    </w:r>
    <w:r w:rsidR="00F976F0">
      <w:t>5</w:t>
    </w:r>
    <w:r w:rsidR="00C8285A">
      <w:t>2</w:t>
    </w:r>
    <w:r w:rsidR="00F976F0">
      <w:t>0</w:t>
    </w:r>
    <w:r w:rsidR="001F1B3B">
      <w:tab/>
      <w:t>Public</w:t>
    </w:r>
    <w:r w:rsidR="001F1B3B">
      <w:tab/>
    </w:r>
    <w:r w:rsidR="001F1B3B">
      <w:rPr>
        <w:rStyle w:val="PageNumber"/>
      </w:rPr>
      <w:fldChar w:fldCharType="begin"/>
    </w:r>
    <w:r w:rsidR="001F1B3B">
      <w:rPr>
        <w:rStyle w:val="PageNumber"/>
      </w:rPr>
      <w:instrText xml:space="preserve"> PAGE </w:instrText>
    </w:r>
    <w:r w:rsidR="001F1B3B">
      <w:rPr>
        <w:rStyle w:val="PageNumber"/>
      </w:rPr>
      <w:fldChar w:fldCharType="separate"/>
    </w:r>
    <w:r w:rsidR="00944ABE">
      <w:rPr>
        <w:rStyle w:val="PageNumber"/>
        <w:noProof/>
      </w:rPr>
      <w:t>1</w:t>
    </w:r>
    <w:r w:rsidR="001F1B3B">
      <w:rPr>
        <w:rStyle w:val="PageNumber"/>
      </w:rPr>
      <w:fldChar w:fldCharType="end"/>
    </w:r>
    <w:r w:rsidR="001F1B3B">
      <w:rPr>
        <w:rStyle w:val="PageNumber"/>
      </w:rPr>
      <w:t xml:space="preserve"> of </w:t>
    </w:r>
    <w:r w:rsidR="001F1B3B">
      <w:rPr>
        <w:rStyle w:val="PageNumber"/>
      </w:rPr>
      <w:fldChar w:fldCharType="begin"/>
    </w:r>
    <w:r w:rsidR="001F1B3B">
      <w:rPr>
        <w:rStyle w:val="PageNumber"/>
      </w:rPr>
      <w:instrText xml:space="preserve"> NUMPAGES </w:instrText>
    </w:r>
    <w:r w:rsidR="001F1B3B">
      <w:rPr>
        <w:rStyle w:val="PageNumber"/>
      </w:rPr>
      <w:fldChar w:fldCharType="separate"/>
    </w:r>
    <w:r w:rsidR="00944ABE">
      <w:rPr>
        <w:rStyle w:val="PageNumber"/>
        <w:noProof/>
      </w:rPr>
      <w:t>2</w:t>
    </w:r>
    <w:r w:rsidR="001F1B3B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629" w:rsidRDefault="00165629">
      <w:r>
        <w:separator/>
      </w:r>
    </w:p>
  </w:footnote>
  <w:footnote w:type="continuationSeparator" w:id="0">
    <w:p w:rsidR="00165629" w:rsidRDefault="001656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B3B" w:rsidRDefault="001F1B3B" w:rsidP="00BF7B9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8630A"/>
    <w:multiLevelType w:val="hybridMultilevel"/>
    <w:tmpl w:val="4C2C9C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C2239A"/>
    <w:multiLevelType w:val="hybridMultilevel"/>
    <w:tmpl w:val="A3B83D88"/>
    <w:lvl w:ilvl="0" w:tplc="2F564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E492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64D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6481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9271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2AC7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EC9C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BAA3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EAF4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B50E8E"/>
    <w:multiLevelType w:val="hybridMultilevel"/>
    <w:tmpl w:val="51A236B4"/>
    <w:lvl w:ilvl="0" w:tplc="41A83B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4CEB9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F8645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4C77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D46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CC8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1CD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1E7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94C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5FF2D3A"/>
    <w:multiLevelType w:val="hybridMultilevel"/>
    <w:tmpl w:val="9B243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D72FD"/>
    <w:multiLevelType w:val="hybridMultilevel"/>
    <w:tmpl w:val="621653E8"/>
    <w:lvl w:ilvl="0" w:tplc="604CA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8E1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16C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A2F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2CEE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584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7C3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3C64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A03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DBE2D74"/>
    <w:multiLevelType w:val="hybridMultilevel"/>
    <w:tmpl w:val="D1D2DE2A"/>
    <w:lvl w:ilvl="0" w:tplc="7EE6C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4CEB9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3EA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589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FA74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F89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2203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001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96E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ABE0375"/>
    <w:multiLevelType w:val="hybridMultilevel"/>
    <w:tmpl w:val="967ED4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4401EF"/>
    <w:multiLevelType w:val="hybridMultilevel"/>
    <w:tmpl w:val="C9F69CCE"/>
    <w:lvl w:ilvl="0" w:tplc="021C6D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BC5F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AA5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583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087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D472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8C42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B63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346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8357F41"/>
    <w:multiLevelType w:val="hybridMultilevel"/>
    <w:tmpl w:val="6EA887EC"/>
    <w:lvl w:ilvl="0" w:tplc="2F564C9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DDF509B"/>
    <w:multiLevelType w:val="hybridMultilevel"/>
    <w:tmpl w:val="2AC0700A"/>
    <w:lvl w:ilvl="0" w:tplc="B63CA8D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B264C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32AE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2CE8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FE55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A083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0CA0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0202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06E5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AA09BB"/>
    <w:multiLevelType w:val="hybridMultilevel"/>
    <w:tmpl w:val="7E90E304"/>
    <w:lvl w:ilvl="0" w:tplc="6562C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7A37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3ED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360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B27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B0C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CC93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389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2C3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37D4DF1"/>
    <w:multiLevelType w:val="hybridMultilevel"/>
    <w:tmpl w:val="B54A7C5A"/>
    <w:lvl w:ilvl="0" w:tplc="EC9CCB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0C90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9C69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8425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D647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BA45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248E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3089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D4E2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02531E"/>
    <w:multiLevelType w:val="hybridMultilevel"/>
    <w:tmpl w:val="C22C8948"/>
    <w:lvl w:ilvl="0" w:tplc="2F564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0EDB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B67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C84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923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C4C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94EE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188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3C5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11"/>
  </w:num>
  <w:num w:numId="7">
    <w:abstractNumId w:val="9"/>
  </w:num>
  <w:num w:numId="8">
    <w:abstractNumId w:val="7"/>
  </w:num>
  <w:num w:numId="9">
    <w:abstractNumId w:val="10"/>
  </w:num>
  <w:num w:numId="10">
    <w:abstractNumId w:val="0"/>
  </w:num>
  <w:num w:numId="11">
    <w:abstractNumId w:val="3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245"/>
    <w:rsid w:val="00000CBF"/>
    <w:rsid w:val="00076C78"/>
    <w:rsid w:val="00092DC7"/>
    <w:rsid w:val="000940B1"/>
    <w:rsid w:val="000B343E"/>
    <w:rsid w:val="000B6CDE"/>
    <w:rsid w:val="000F7000"/>
    <w:rsid w:val="00100031"/>
    <w:rsid w:val="0010680E"/>
    <w:rsid w:val="00112BB2"/>
    <w:rsid w:val="00121BF6"/>
    <w:rsid w:val="0012493D"/>
    <w:rsid w:val="00142495"/>
    <w:rsid w:val="001456D2"/>
    <w:rsid w:val="00156BA3"/>
    <w:rsid w:val="001578B4"/>
    <w:rsid w:val="00165629"/>
    <w:rsid w:val="00167B1D"/>
    <w:rsid w:val="00181C50"/>
    <w:rsid w:val="001836B1"/>
    <w:rsid w:val="001A220A"/>
    <w:rsid w:val="001F1B3B"/>
    <w:rsid w:val="001F57E1"/>
    <w:rsid w:val="0020393B"/>
    <w:rsid w:val="00225BC5"/>
    <w:rsid w:val="0024020C"/>
    <w:rsid w:val="00242799"/>
    <w:rsid w:val="00246913"/>
    <w:rsid w:val="00247934"/>
    <w:rsid w:val="00251F1B"/>
    <w:rsid w:val="00273D07"/>
    <w:rsid w:val="0029316F"/>
    <w:rsid w:val="002E6353"/>
    <w:rsid w:val="00332E4B"/>
    <w:rsid w:val="00341F8F"/>
    <w:rsid w:val="00344AC3"/>
    <w:rsid w:val="00345CF6"/>
    <w:rsid w:val="00360073"/>
    <w:rsid w:val="00372452"/>
    <w:rsid w:val="0038019A"/>
    <w:rsid w:val="00380C78"/>
    <w:rsid w:val="003D7664"/>
    <w:rsid w:val="003E1A3B"/>
    <w:rsid w:val="00426535"/>
    <w:rsid w:val="00440E2D"/>
    <w:rsid w:val="004423B0"/>
    <w:rsid w:val="00464DBB"/>
    <w:rsid w:val="00476A81"/>
    <w:rsid w:val="00485133"/>
    <w:rsid w:val="004B417F"/>
    <w:rsid w:val="004E499C"/>
    <w:rsid w:val="0050306D"/>
    <w:rsid w:val="00512074"/>
    <w:rsid w:val="00515DF0"/>
    <w:rsid w:val="00531F18"/>
    <w:rsid w:val="00535121"/>
    <w:rsid w:val="00543A65"/>
    <w:rsid w:val="00555771"/>
    <w:rsid w:val="00581C5A"/>
    <w:rsid w:val="005944C6"/>
    <w:rsid w:val="005C1B10"/>
    <w:rsid w:val="005D13A3"/>
    <w:rsid w:val="005D5C4F"/>
    <w:rsid w:val="005F7D78"/>
    <w:rsid w:val="00600F54"/>
    <w:rsid w:val="00601156"/>
    <w:rsid w:val="006113A7"/>
    <w:rsid w:val="006547BE"/>
    <w:rsid w:val="006760BA"/>
    <w:rsid w:val="006814AC"/>
    <w:rsid w:val="0068718F"/>
    <w:rsid w:val="0069332C"/>
    <w:rsid w:val="006B6FA2"/>
    <w:rsid w:val="006C2422"/>
    <w:rsid w:val="006D4E74"/>
    <w:rsid w:val="00711070"/>
    <w:rsid w:val="007204FC"/>
    <w:rsid w:val="0072627B"/>
    <w:rsid w:val="00750DDC"/>
    <w:rsid w:val="0076245E"/>
    <w:rsid w:val="0077634F"/>
    <w:rsid w:val="007952D0"/>
    <w:rsid w:val="007A1985"/>
    <w:rsid w:val="007B2230"/>
    <w:rsid w:val="00804188"/>
    <w:rsid w:val="00814C88"/>
    <w:rsid w:val="00816211"/>
    <w:rsid w:val="00825245"/>
    <w:rsid w:val="008338B5"/>
    <w:rsid w:val="00837869"/>
    <w:rsid w:val="008471ED"/>
    <w:rsid w:val="00851D1A"/>
    <w:rsid w:val="00876CD0"/>
    <w:rsid w:val="0087794B"/>
    <w:rsid w:val="00885FF7"/>
    <w:rsid w:val="008A78FB"/>
    <w:rsid w:val="008C0916"/>
    <w:rsid w:val="008C5516"/>
    <w:rsid w:val="008F3A3F"/>
    <w:rsid w:val="008F6868"/>
    <w:rsid w:val="008F6E46"/>
    <w:rsid w:val="00944ABE"/>
    <w:rsid w:val="00954727"/>
    <w:rsid w:val="009A22B1"/>
    <w:rsid w:val="009D7146"/>
    <w:rsid w:val="00A13B49"/>
    <w:rsid w:val="00A1688E"/>
    <w:rsid w:val="00A239F8"/>
    <w:rsid w:val="00A57613"/>
    <w:rsid w:val="00AB156D"/>
    <w:rsid w:val="00AD5AFB"/>
    <w:rsid w:val="00AD7B87"/>
    <w:rsid w:val="00B36F10"/>
    <w:rsid w:val="00B42467"/>
    <w:rsid w:val="00B46BF7"/>
    <w:rsid w:val="00B6137D"/>
    <w:rsid w:val="00B7060D"/>
    <w:rsid w:val="00B85244"/>
    <w:rsid w:val="00B9492C"/>
    <w:rsid w:val="00B950BD"/>
    <w:rsid w:val="00BB0A81"/>
    <w:rsid w:val="00BC4D86"/>
    <w:rsid w:val="00BF1111"/>
    <w:rsid w:val="00BF12AC"/>
    <w:rsid w:val="00BF4837"/>
    <w:rsid w:val="00BF7B9E"/>
    <w:rsid w:val="00C03D2D"/>
    <w:rsid w:val="00C03DF2"/>
    <w:rsid w:val="00C10FB2"/>
    <w:rsid w:val="00C22832"/>
    <w:rsid w:val="00C23759"/>
    <w:rsid w:val="00C31714"/>
    <w:rsid w:val="00C55270"/>
    <w:rsid w:val="00C60516"/>
    <w:rsid w:val="00C779E5"/>
    <w:rsid w:val="00C8285A"/>
    <w:rsid w:val="00CA08B9"/>
    <w:rsid w:val="00CA144A"/>
    <w:rsid w:val="00CE6C4C"/>
    <w:rsid w:val="00CF2906"/>
    <w:rsid w:val="00D512BE"/>
    <w:rsid w:val="00D602CF"/>
    <w:rsid w:val="00D6243A"/>
    <w:rsid w:val="00D676B0"/>
    <w:rsid w:val="00D80006"/>
    <w:rsid w:val="00D81DDF"/>
    <w:rsid w:val="00DC27AC"/>
    <w:rsid w:val="00DD1883"/>
    <w:rsid w:val="00DD5730"/>
    <w:rsid w:val="00DE65D9"/>
    <w:rsid w:val="00E05AAD"/>
    <w:rsid w:val="00E20B4E"/>
    <w:rsid w:val="00E27F68"/>
    <w:rsid w:val="00E53A6D"/>
    <w:rsid w:val="00E70952"/>
    <w:rsid w:val="00EB24BA"/>
    <w:rsid w:val="00EB32F5"/>
    <w:rsid w:val="00EC7EF8"/>
    <w:rsid w:val="00EF1E68"/>
    <w:rsid w:val="00F119BE"/>
    <w:rsid w:val="00F148BF"/>
    <w:rsid w:val="00F334F6"/>
    <w:rsid w:val="00F33508"/>
    <w:rsid w:val="00F36470"/>
    <w:rsid w:val="00F36C1A"/>
    <w:rsid w:val="00F473B8"/>
    <w:rsid w:val="00F8731A"/>
    <w:rsid w:val="00F976F0"/>
    <w:rsid w:val="00FA2989"/>
    <w:rsid w:val="00FB3E36"/>
    <w:rsid w:val="00FD05DB"/>
    <w:rsid w:val="00FD7C9C"/>
    <w:rsid w:val="00FF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66EC45-2417-46DF-967D-3D4AB6AC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148BF"/>
    <w:rPr>
      <w:color w:val="0000FF"/>
      <w:u w:val="single"/>
    </w:rPr>
  </w:style>
  <w:style w:type="paragraph" w:styleId="BalloonText">
    <w:name w:val="Balloon Text"/>
    <w:basedOn w:val="Normal"/>
    <w:semiHidden/>
    <w:rsid w:val="00C779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552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52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5270"/>
  </w:style>
  <w:style w:type="character" w:styleId="FollowedHyperlink">
    <w:name w:val="FollowedHyperlink"/>
    <w:rsid w:val="00BF7B9E"/>
    <w:rPr>
      <w:color w:val="800080"/>
      <w:u w:val="single"/>
    </w:rPr>
  </w:style>
  <w:style w:type="character" w:styleId="BookTitle">
    <w:name w:val="Book Title"/>
    <w:uiPriority w:val="33"/>
    <w:qFormat/>
    <w:rsid w:val="00AB156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EB32F5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table" w:styleId="TableGrid">
    <w:name w:val="Table Grid"/>
    <w:basedOn w:val="TableNormal"/>
    <w:uiPriority w:val="39"/>
    <w:rsid w:val="00C6051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8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0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4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8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cot.web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DA593-D47B-4572-B3B6-D4C53B622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 of Working Groups and Task Forces</vt:lpstr>
    </vt:vector>
  </TitlesOfParts>
  <Company>ERCOT</Company>
  <LinksUpToDate>false</LinksUpToDate>
  <CharactersWithSpaces>3806</CharactersWithSpaces>
  <SharedDoc>false</SharedDoc>
  <HLinks>
    <vt:vector size="84" baseType="variant">
      <vt:variant>
        <vt:i4>3801211</vt:i4>
      </vt:variant>
      <vt:variant>
        <vt:i4>39</vt:i4>
      </vt:variant>
      <vt:variant>
        <vt:i4>0</vt:i4>
      </vt:variant>
      <vt:variant>
        <vt:i4>5</vt:i4>
      </vt:variant>
      <vt:variant>
        <vt:lpwstr>http://ercot.webex.com/</vt:lpwstr>
      </vt:variant>
      <vt:variant>
        <vt:lpwstr/>
      </vt:variant>
      <vt:variant>
        <vt:i4>5832786</vt:i4>
      </vt:variant>
      <vt:variant>
        <vt:i4>36</vt:i4>
      </vt:variant>
      <vt:variant>
        <vt:i4>0</vt:i4>
      </vt:variant>
      <vt:variant>
        <vt:i4>5</vt:i4>
      </vt:variant>
      <vt:variant>
        <vt:lpwstr>http://www.roberts-rules.com/</vt:lpwstr>
      </vt:variant>
      <vt:variant>
        <vt:lpwstr/>
      </vt:variant>
      <vt:variant>
        <vt:i4>5832786</vt:i4>
      </vt:variant>
      <vt:variant>
        <vt:i4>33</vt:i4>
      </vt:variant>
      <vt:variant>
        <vt:i4>0</vt:i4>
      </vt:variant>
      <vt:variant>
        <vt:i4>5</vt:i4>
      </vt:variant>
      <vt:variant>
        <vt:lpwstr>http://www.roberts-rules.com/</vt:lpwstr>
      </vt:variant>
      <vt:variant>
        <vt:lpwstr/>
      </vt:variant>
      <vt:variant>
        <vt:i4>2752620</vt:i4>
      </vt:variant>
      <vt:variant>
        <vt:i4>30</vt:i4>
      </vt:variant>
      <vt:variant>
        <vt:i4>0</vt:i4>
      </vt:variant>
      <vt:variant>
        <vt:i4>5</vt:i4>
      </vt:variant>
      <vt:variant>
        <vt:lpwstr>http://www.rulesonline.com/</vt:lpwstr>
      </vt:variant>
      <vt:variant>
        <vt:lpwstr/>
      </vt:variant>
      <vt:variant>
        <vt:i4>2752620</vt:i4>
      </vt:variant>
      <vt:variant>
        <vt:i4>27</vt:i4>
      </vt:variant>
      <vt:variant>
        <vt:i4>0</vt:i4>
      </vt:variant>
      <vt:variant>
        <vt:i4>5</vt:i4>
      </vt:variant>
      <vt:variant>
        <vt:lpwstr>http://www.rulesonline.com/</vt:lpwstr>
      </vt:variant>
      <vt:variant>
        <vt:lpwstr/>
      </vt:variant>
      <vt:variant>
        <vt:i4>5832779</vt:i4>
      </vt:variant>
      <vt:variant>
        <vt:i4>24</vt:i4>
      </vt:variant>
      <vt:variant>
        <vt:i4>0</vt:i4>
      </vt:variant>
      <vt:variant>
        <vt:i4>5</vt:i4>
      </vt:variant>
      <vt:variant>
        <vt:lpwstr>http://www.robertsrules.org/</vt:lpwstr>
      </vt:variant>
      <vt:variant>
        <vt:lpwstr/>
      </vt:variant>
      <vt:variant>
        <vt:i4>5832779</vt:i4>
      </vt:variant>
      <vt:variant>
        <vt:i4>21</vt:i4>
      </vt:variant>
      <vt:variant>
        <vt:i4>0</vt:i4>
      </vt:variant>
      <vt:variant>
        <vt:i4>5</vt:i4>
      </vt:variant>
      <vt:variant>
        <vt:lpwstr>http://www.robertsrules.org/</vt:lpwstr>
      </vt:variant>
      <vt:variant>
        <vt:lpwstr/>
      </vt:variant>
      <vt:variant>
        <vt:i4>4456525</vt:i4>
      </vt:variant>
      <vt:variant>
        <vt:i4>18</vt:i4>
      </vt:variant>
      <vt:variant>
        <vt:i4>0</vt:i4>
      </vt:variant>
      <vt:variant>
        <vt:i4>5</vt:i4>
      </vt:variant>
      <vt:variant>
        <vt:lpwstr>http://www.robertsrules.com/</vt:lpwstr>
      </vt:variant>
      <vt:variant>
        <vt:lpwstr/>
      </vt:variant>
      <vt:variant>
        <vt:i4>7471155</vt:i4>
      </vt:variant>
      <vt:variant>
        <vt:i4>15</vt:i4>
      </vt:variant>
      <vt:variant>
        <vt:i4>0</vt:i4>
      </vt:variant>
      <vt:variant>
        <vt:i4>5</vt:i4>
      </vt:variant>
      <vt:variant>
        <vt:lpwstr>http://www.ercot.com/committees/board/tac/</vt:lpwstr>
      </vt:variant>
      <vt:variant>
        <vt:lpwstr/>
      </vt:variant>
      <vt:variant>
        <vt:i4>5177411</vt:i4>
      </vt:variant>
      <vt:variant>
        <vt:i4>12</vt:i4>
      </vt:variant>
      <vt:variant>
        <vt:i4>0</vt:i4>
      </vt:variant>
      <vt:variant>
        <vt:i4>5</vt:i4>
      </vt:variant>
      <vt:variant>
        <vt:lpwstr>http://www.ercot.com/committees/board/tac/index.html</vt:lpwstr>
      </vt:variant>
      <vt:variant>
        <vt:lpwstr/>
      </vt:variant>
      <vt:variant>
        <vt:i4>6488180</vt:i4>
      </vt:variant>
      <vt:variant>
        <vt:i4>9</vt:i4>
      </vt:variant>
      <vt:variant>
        <vt:i4>0</vt:i4>
      </vt:variant>
      <vt:variant>
        <vt:i4>5</vt:i4>
      </vt:variant>
      <vt:variant>
        <vt:lpwstr>http://www.ercot.com/about/governance/</vt:lpwstr>
      </vt:variant>
      <vt:variant>
        <vt:lpwstr/>
      </vt:variant>
      <vt:variant>
        <vt:i4>1245221</vt:i4>
      </vt:variant>
      <vt:variant>
        <vt:i4>6</vt:i4>
      </vt:variant>
      <vt:variant>
        <vt:i4>0</vt:i4>
      </vt:variant>
      <vt:variant>
        <vt:i4>5</vt:i4>
      </vt:variant>
      <vt:variant>
        <vt:lpwstr>mailto:StakeholderServices@ercot.com</vt:lpwstr>
      </vt:variant>
      <vt:variant>
        <vt:lpwstr/>
      </vt:variant>
      <vt:variant>
        <vt:i4>1507365</vt:i4>
      </vt:variant>
      <vt:variant>
        <vt:i4>3</vt:i4>
      </vt:variant>
      <vt:variant>
        <vt:i4>0</vt:i4>
      </vt:variant>
      <vt:variant>
        <vt:i4>5</vt:i4>
      </vt:variant>
      <vt:variant>
        <vt:lpwstr>mailto:ClientServices@ercot.com</vt:lpwstr>
      </vt:variant>
      <vt:variant>
        <vt:lpwstr/>
      </vt:variant>
      <vt:variant>
        <vt:i4>3342387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http://www.ercot.com/committees/index.html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 of Working Groups and Task Forces</dc:title>
  <dc:subject/>
  <dc:creator>khobbs</dc:creator>
  <cp:keywords/>
  <cp:lastModifiedBy>David Detelich</cp:lastModifiedBy>
  <cp:revision>3</cp:revision>
  <cp:lastPrinted>2008-03-31T16:56:00Z</cp:lastPrinted>
  <dcterms:created xsi:type="dcterms:W3CDTF">2019-07-17T17:30:00Z</dcterms:created>
  <dcterms:modified xsi:type="dcterms:W3CDTF">2019-07-17T17:31:00Z</dcterms:modified>
</cp:coreProperties>
</file>