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74E16" w14:textId="77777777" w:rsidR="004B7AA6" w:rsidRDefault="004B7AA6" w:rsidP="00C021CE">
      <w:pPr>
        <w:suppressAutoHyphens/>
        <w:jc w:val="center"/>
        <w:rPr>
          <w:b/>
          <w:spacing w:val="-6"/>
          <w:sz w:val="36"/>
          <w:szCs w:val="36"/>
        </w:rPr>
      </w:pPr>
    </w:p>
    <w:p w14:paraId="1CEB67D4" w14:textId="77777777" w:rsidR="004B7AA6" w:rsidRDefault="004B7AA6" w:rsidP="00C021CE">
      <w:pPr>
        <w:suppressAutoHyphens/>
        <w:jc w:val="center"/>
        <w:rPr>
          <w:b/>
          <w:spacing w:val="-6"/>
          <w:sz w:val="36"/>
          <w:szCs w:val="36"/>
        </w:rPr>
      </w:pPr>
    </w:p>
    <w:p w14:paraId="0DFAEE96" w14:textId="77777777" w:rsidR="004B7AA6" w:rsidRDefault="004B7AA6" w:rsidP="00C021CE">
      <w:pPr>
        <w:suppressAutoHyphens/>
        <w:jc w:val="center"/>
        <w:rPr>
          <w:b/>
          <w:spacing w:val="-6"/>
          <w:sz w:val="36"/>
          <w:szCs w:val="36"/>
        </w:rPr>
      </w:pPr>
    </w:p>
    <w:p w14:paraId="6E9F974D" w14:textId="77777777" w:rsidR="004B7AA6" w:rsidRDefault="004B7AA6" w:rsidP="00C021CE">
      <w:pPr>
        <w:suppressAutoHyphens/>
        <w:jc w:val="center"/>
        <w:rPr>
          <w:b/>
          <w:spacing w:val="-6"/>
          <w:sz w:val="36"/>
          <w:szCs w:val="36"/>
        </w:rPr>
      </w:pPr>
    </w:p>
    <w:p w14:paraId="7B7C689E" w14:textId="77777777" w:rsidR="004B7AA6" w:rsidRDefault="004B7AA6" w:rsidP="00C021CE">
      <w:pPr>
        <w:suppressAutoHyphens/>
        <w:jc w:val="center"/>
        <w:rPr>
          <w:b/>
          <w:spacing w:val="-6"/>
          <w:sz w:val="36"/>
          <w:szCs w:val="36"/>
        </w:rPr>
      </w:pPr>
    </w:p>
    <w:p w14:paraId="6EC67B25" w14:textId="77777777" w:rsidR="004B7AA6" w:rsidRDefault="004B7AA6" w:rsidP="00C021CE">
      <w:pPr>
        <w:suppressAutoHyphens/>
        <w:jc w:val="center"/>
        <w:rPr>
          <w:b/>
          <w:spacing w:val="-6"/>
          <w:sz w:val="36"/>
          <w:szCs w:val="36"/>
        </w:rPr>
      </w:pPr>
    </w:p>
    <w:p w14:paraId="4F6F1D1F" w14:textId="77777777" w:rsidR="004B7AA6" w:rsidRDefault="004B7AA6" w:rsidP="00C021CE">
      <w:pPr>
        <w:suppressAutoHyphens/>
        <w:jc w:val="center"/>
        <w:rPr>
          <w:b/>
          <w:spacing w:val="-6"/>
          <w:sz w:val="36"/>
          <w:szCs w:val="36"/>
        </w:rPr>
      </w:pPr>
      <w:r>
        <w:rPr>
          <w:b/>
          <w:spacing w:val="-6"/>
          <w:sz w:val="36"/>
          <w:szCs w:val="36"/>
        </w:rPr>
        <w:t>ERCOT Nodal Operating Guides</w:t>
      </w:r>
    </w:p>
    <w:p w14:paraId="74BD10A4" w14:textId="77777777" w:rsidR="004B7AA6" w:rsidRDefault="004B7AA6" w:rsidP="00C021CE">
      <w:pPr>
        <w:suppressAutoHyphens/>
        <w:jc w:val="center"/>
        <w:rPr>
          <w:b/>
          <w:spacing w:val="-6"/>
          <w:sz w:val="36"/>
          <w:szCs w:val="36"/>
        </w:rPr>
      </w:pPr>
    </w:p>
    <w:p w14:paraId="14345061" w14:textId="77777777" w:rsidR="004B7AA6" w:rsidRDefault="004B7AA6" w:rsidP="00C021CE">
      <w:pPr>
        <w:tabs>
          <w:tab w:val="left" w:pos="-720"/>
        </w:tabs>
        <w:suppressAutoHyphens/>
        <w:jc w:val="center"/>
        <w:rPr>
          <w:b/>
          <w:bCs/>
          <w:spacing w:val="-6"/>
        </w:rPr>
      </w:pPr>
      <w:r>
        <w:rPr>
          <w:b/>
          <w:sz w:val="36"/>
          <w:szCs w:val="36"/>
        </w:rPr>
        <w:t>Section 5</w:t>
      </w:r>
      <w:r w:rsidR="00793130">
        <w:rPr>
          <w:b/>
          <w:sz w:val="36"/>
          <w:szCs w:val="36"/>
        </w:rPr>
        <w:t>:  Network Operations Modeling Requirements</w:t>
      </w:r>
      <w:r>
        <w:rPr>
          <w:b/>
          <w:sz w:val="36"/>
          <w:szCs w:val="36"/>
        </w:rPr>
        <w:t xml:space="preserve">  </w:t>
      </w:r>
    </w:p>
    <w:p w14:paraId="35FC42D3" w14:textId="77777777" w:rsidR="00F12692" w:rsidRDefault="00F12692" w:rsidP="00C021CE">
      <w:pPr>
        <w:tabs>
          <w:tab w:val="left" w:pos="-720"/>
        </w:tabs>
        <w:suppressAutoHyphens/>
        <w:jc w:val="center"/>
        <w:rPr>
          <w:b/>
          <w:bCs/>
          <w:spacing w:val="-6"/>
        </w:rPr>
      </w:pPr>
    </w:p>
    <w:p w14:paraId="299C6B3A" w14:textId="77777777" w:rsidR="00F12692" w:rsidRDefault="00F12692" w:rsidP="00C021CE">
      <w:pPr>
        <w:tabs>
          <w:tab w:val="left" w:pos="-720"/>
        </w:tabs>
        <w:suppressAutoHyphens/>
        <w:jc w:val="center"/>
        <w:rPr>
          <w:b/>
          <w:bCs/>
          <w:spacing w:val="-6"/>
        </w:rPr>
      </w:pPr>
    </w:p>
    <w:p w14:paraId="70CA49FD" w14:textId="135D4BEB" w:rsidR="004B7AA6" w:rsidRPr="005D1B31" w:rsidRDefault="00AC217C" w:rsidP="00C021CE">
      <w:pPr>
        <w:tabs>
          <w:tab w:val="left" w:pos="-720"/>
        </w:tabs>
        <w:suppressAutoHyphens/>
        <w:jc w:val="center"/>
        <w:rPr>
          <w:b/>
          <w:bCs/>
          <w:spacing w:val="-6"/>
        </w:rPr>
      </w:pPr>
      <w:r>
        <w:rPr>
          <w:b/>
          <w:bCs/>
          <w:spacing w:val="-6"/>
        </w:rPr>
        <w:t>December 5</w:t>
      </w:r>
      <w:r w:rsidR="008236B2">
        <w:rPr>
          <w:b/>
          <w:bCs/>
          <w:spacing w:val="-6"/>
        </w:rPr>
        <w:t>, 2025</w:t>
      </w:r>
    </w:p>
    <w:p w14:paraId="1B855869" w14:textId="77777777" w:rsidR="004B7AA6" w:rsidRDefault="004B7AA6" w:rsidP="00EB3A6D">
      <w:pPr>
        <w:pBdr>
          <w:top w:val="single" w:sz="4" w:space="1" w:color="auto"/>
        </w:pBdr>
        <w:spacing w:before="960"/>
        <w:rPr>
          <w:b/>
          <w:sz w:val="20"/>
        </w:rPr>
      </w:pPr>
    </w:p>
    <w:p w14:paraId="659D8464" w14:textId="77777777" w:rsidR="004B7AA6" w:rsidRDefault="004B7AA6" w:rsidP="00C021CE">
      <w:pPr>
        <w:tabs>
          <w:tab w:val="left" w:pos="-720"/>
        </w:tabs>
        <w:suppressAutoHyphens/>
        <w:jc w:val="center"/>
        <w:rPr>
          <w:bCs/>
          <w:spacing w:val="-6"/>
        </w:rPr>
      </w:pPr>
    </w:p>
    <w:p w14:paraId="66ECDEC5" w14:textId="77777777" w:rsidR="004B7AA6" w:rsidRDefault="004B7AA6" w:rsidP="00C021CE">
      <w:pPr>
        <w:sectPr w:rsidR="004B7AA6" w:rsidSect="00700E93">
          <w:footerReference w:type="default" r:id="rId7"/>
          <w:headerReference w:type="first" r:id="rId8"/>
          <w:footerReference w:type="first" r:id="rId9"/>
          <w:pgSz w:w="12240" w:h="15840" w:code="1"/>
          <w:pgMar w:top="1440" w:right="1440" w:bottom="1440" w:left="1440" w:header="720" w:footer="720" w:gutter="0"/>
          <w:pgNumType w:start="1" w:chapStyle="1"/>
          <w:cols w:space="720"/>
          <w:docGrid w:linePitch="360"/>
        </w:sectPr>
      </w:pPr>
    </w:p>
    <w:p w14:paraId="282B21BB" w14:textId="77777777" w:rsidR="00793130" w:rsidRPr="00C5676E" w:rsidRDefault="004B7AA6">
      <w:pPr>
        <w:pStyle w:val="TOC1"/>
        <w:tabs>
          <w:tab w:val="left" w:pos="480"/>
          <w:tab w:val="right" w:leader="dot" w:pos="9350"/>
        </w:tabs>
        <w:rPr>
          <w:rStyle w:val="IntenseEmphasis"/>
          <w:b w:val="0"/>
          <w:bCs w:val="0"/>
          <w:i w:val="0"/>
          <w:iCs w:val="0"/>
          <w:caps w:val="0"/>
          <w:noProof/>
          <w:color w:val="auto"/>
        </w:rPr>
      </w:pPr>
      <w:r w:rsidRPr="00C5676E">
        <w:rPr>
          <w:rStyle w:val="IntenseEmphasis"/>
          <w:b w:val="0"/>
          <w:bCs w:val="0"/>
          <w:i w:val="0"/>
          <w:iCs w:val="0"/>
          <w:caps w:val="0"/>
          <w:noProof/>
          <w:color w:val="auto"/>
        </w:rPr>
        <w:lastRenderedPageBreak/>
        <w:fldChar w:fldCharType="begin"/>
      </w:r>
      <w:r w:rsidRPr="00C5676E">
        <w:rPr>
          <w:rStyle w:val="IntenseEmphasis"/>
          <w:b w:val="0"/>
          <w:bCs w:val="0"/>
          <w:i w:val="0"/>
          <w:iCs w:val="0"/>
          <w:caps w:val="0"/>
          <w:noProof/>
          <w:color w:val="auto"/>
        </w:rPr>
        <w:instrText xml:space="preserve"> TOC \o "1-3" \h \z \u </w:instrText>
      </w:r>
      <w:r w:rsidRPr="00C5676E">
        <w:rPr>
          <w:rStyle w:val="IntenseEmphasis"/>
          <w:b w:val="0"/>
          <w:bCs w:val="0"/>
          <w:i w:val="0"/>
          <w:iCs w:val="0"/>
          <w:caps w:val="0"/>
          <w:noProof/>
          <w:color w:val="auto"/>
        </w:rPr>
        <w:fldChar w:fldCharType="separate"/>
      </w:r>
      <w:hyperlink w:anchor="_Toc311210840" w:history="1">
        <w:r w:rsidR="00793130" w:rsidRPr="00C5676E">
          <w:rPr>
            <w:rStyle w:val="IntenseEmphasis"/>
            <w:b w:val="0"/>
            <w:bCs w:val="0"/>
            <w:i w:val="0"/>
            <w:iCs w:val="0"/>
            <w:caps w:val="0"/>
            <w:noProof/>
            <w:color w:val="auto"/>
          </w:rPr>
          <w:t>5</w:t>
        </w:r>
        <w:r w:rsidR="00793130" w:rsidRPr="00C5676E">
          <w:rPr>
            <w:rStyle w:val="IntenseEmphasis"/>
            <w:b w:val="0"/>
            <w:bCs w:val="0"/>
            <w:i w:val="0"/>
            <w:iCs w:val="0"/>
            <w:caps w:val="0"/>
            <w:noProof/>
            <w:color w:val="auto"/>
          </w:rPr>
          <w:tab/>
          <w:t>NETWORK OPERATIONS MODELING REQUIREMENTS</w:t>
        </w:r>
        <w:r w:rsidR="00793130" w:rsidRPr="00C5676E">
          <w:rPr>
            <w:rStyle w:val="IntenseEmphasis"/>
            <w:b w:val="0"/>
            <w:bCs w:val="0"/>
            <w:i w:val="0"/>
            <w:iCs w:val="0"/>
            <w:caps w:val="0"/>
            <w:noProof/>
            <w:webHidden/>
            <w:color w:val="auto"/>
          </w:rPr>
          <w:tab/>
        </w:r>
        <w:r w:rsidR="00793130" w:rsidRPr="00C5676E">
          <w:rPr>
            <w:rStyle w:val="IntenseEmphasis"/>
            <w:b w:val="0"/>
            <w:bCs w:val="0"/>
            <w:i w:val="0"/>
            <w:iCs w:val="0"/>
            <w:caps w:val="0"/>
            <w:noProof/>
            <w:webHidden/>
            <w:color w:val="auto"/>
          </w:rPr>
          <w:fldChar w:fldCharType="begin"/>
        </w:r>
        <w:r w:rsidR="00793130" w:rsidRPr="00C5676E">
          <w:rPr>
            <w:rStyle w:val="IntenseEmphasis"/>
            <w:b w:val="0"/>
            <w:bCs w:val="0"/>
            <w:i w:val="0"/>
            <w:iCs w:val="0"/>
            <w:caps w:val="0"/>
            <w:noProof/>
            <w:webHidden/>
            <w:color w:val="auto"/>
          </w:rPr>
          <w:instrText xml:space="preserve"> PAGEREF _Toc311210840 \h </w:instrText>
        </w:r>
        <w:r w:rsidR="00793130" w:rsidRPr="00C5676E">
          <w:rPr>
            <w:rStyle w:val="IntenseEmphasis"/>
            <w:b w:val="0"/>
            <w:bCs w:val="0"/>
            <w:i w:val="0"/>
            <w:iCs w:val="0"/>
            <w:caps w:val="0"/>
            <w:noProof/>
            <w:webHidden/>
            <w:color w:val="auto"/>
          </w:rPr>
        </w:r>
        <w:r w:rsidR="00793130" w:rsidRPr="00C5676E">
          <w:rPr>
            <w:rStyle w:val="IntenseEmphasis"/>
            <w:b w:val="0"/>
            <w:bCs w:val="0"/>
            <w:i w:val="0"/>
            <w:iCs w:val="0"/>
            <w:caps w:val="0"/>
            <w:noProof/>
            <w:webHidden/>
            <w:color w:val="auto"/>
          </w:rPr>
          <w:fldChar w:fldCharType="separate"/>
        </w:r>
        <w:r w:rsidR="000C58AE" w:rsidRPr="00C5676E">
          <w:rPr>
            <w:rStyle w:val="IntenseEmphasis"/>
            <w:b w:val="0"/>
            <w:bCs w:val="0"/>
            <w:i w:val="0"/>
            <w:iCs w:val="0"/>
            <w:caps w:val="0"/>
            <w:noProof/>
            <w:webHidden/>
            <w:color w:val="auto"/>
          </w:rPr>
          <w:t>5-1</w:t>
        </w:r>
        <w:r w:rsidR="00793130" w:rsidRPr="00C5676E">
          <w:rPr>
            <w:rStyle w:val="IntenseEmphasis"/>
            <w:b w:val="0"/>
            <w:bCs w:val="0"/>
            <w:i w:val="0"/>
            <w:iCs w:val="0"/>
            <w:caps w:val="0"/>
            <w:noProof/>
            <w:webHidden/>
            <w:color w:val="auto"/>
          </w:rPr>
          <w:fldChar w:fldCharType="end"/>
        </w:r>
      </w:hyperlink>
    </w:p>
    <w:p w14:paraId="19B9C792" w14:textId="77777777" w:rsidR="00793130" w:rsidRPr="00C5676E" w:rsidRDefault="00793130" w:rsidP="000A66D4">
      <w:pPr>
        <w:pStyle w:val="TOC2"/>
        <w:rPr>
          <w:rStyle w:val="IntenseEmphasis"/>
          <w:b w:val="0"/>
          <w:i w:val="0"/>
          <w:iCs w:val="0"/>
          <w:smallCaps w:val="0"/>
          <w:color w:val="auto"/>
        </w:rPr>
      </w:pPr>
      <w:hyperlink w:anchor="_Toc311210841" w:history="1">
        <w:r w:rsidRPr="00C5676E">
          <w:rPr>
            <w:rStyle w:val="IntenseEmphasis"/>
            <w:b w:val="0"/>
            <w:i w:val="0"/>
            <w:iCs w:val="0"/>
            <w:smallCaps w:val="0"/>
            <w:color w:val="auto"/>
          </w:rPr>
          <w:t>5.1</w:t>
        </w:r>
        <w:r w:rsidRPr="00C5676E">
          <w:rPr>
            <w:rStyle w:val="IntenseEmphasis"/>
            <w:b w:val="0"/>
            <w:i w:val="0"/>
            <w:iCs w:val="0"/>
            <w:smallCaps w:val="0"/>
            <w:color w:val="auto"/>
          </w:rPr>
          <w:tab/>
          <w:t>System Modeling Information</w:t>
        </w:r>
        <w:r w:rsidRPr="00C5676E">
          <w:rPr>
            <w:rStyle w:val="IntenseEmphasis"/>
            <w:b w:val="0"/>
            <w:i w:val="0"/>
            <w:iCs w:val="0"/>
            <w:smallCaps w:val="0"/>
            <w:webHidden/>
            <w:color w:val="auto"/>
          </w:rPr>
          <w:tab/>
        </w:r>
        <w:r w:rsidRPr="00C5676E">
          <w:rPr>
            <w:rStyle w:val="IntenseEmphasis"/>
            <w:b w:val="0"/>
            <w:i w:val="0"/>
            <w:iCs w:val="0"/>
            <w:smallCaps w:val="0"/>
            <w:webHidden/>
            <w:color w:val="auto"/>
          </w:rPr>
          <w:fldChar w:fldCharType="begin"/>
        </w:r>
        <w:r w:rsidRPr="00C5676E">
          <w:rPr>
            <w:rStyle w:val="IntenseEmphasis"/>
            <w:b w:val="0"/>
            <w:i w:val="0"/>
            <w:iCs w:val="0"/>
            <w:smallCaps w:val="0"/>
            <w:webHidden/>
            <w:color w:val="auto"/>
          </w:rPr>
          <w:instrText xml:space="preserve"> PAGEREF _Toc311210841 \h </w:instrText>
        </w:r>
        <w:r w:rsidRPr="00C5676E">
          <w:rPr>
            <w:rStyle w:val="IntenseEmphasis"/>
            <w:b w:val="0"/>
            <w:i w:val="0"/>
            <w:iCs w:val="0"/>
            <w:smallCaps w:val="0"/>
            <w:webHidden/>
            <w:color w:val="auto"/>
          </w:rPr>
        </w:r>
        <w:r w:rsidRPr="00C5676E">
          <w:rPr>
            <w:rStyle w:val="IntenseEmphasis"/>
            <w:b w:val="0"/>
            <w:i w:val="0"/>
            <w:iCs w:val="0"/>
            <w:smallCaps w:val="0"/>
            <w:webHidden/>
            <w:color w:val="auto"/>
          </w:rPr>
          <w:fldChar w:fldCharType="separate"/>
        </w:r>
        <w:r w:rsidR="000C58AE" w:rsidRPr="00C5676E">
          <w:rPr>
            <w:rStyle w:val="IntenseEmphasis"/>
            <w:b w:val="0"/>
            <w:i w:val="0"/>
            <w:iCs w:val="0"/>
            <w:smallCaps w:val="0"/>
            <w:webHidden/>
            <w:color w:val="auto"/>
          </w:rPr>
          <w:t>5-1</w:t>
        </w:r>
        <w:r w:rsidRPr="00C5676E">
          <w:rPr>
            <w:rStyle w:val="IntenseEmphasis"/>
            <w:b w:val="0"/>
            <w:i w:val="0"/>
            <w:iCs w:val="0"/>
            <w:smallCaps w:val="0"/>
            <w:webHidden/>
            <w:color w:val="auto"/>
          </w:rPr>
          <w:fldChar w:fldCharType="end"/>
        </w:r>
      </w:hyperlink>
    </w:p>
    <w:p w14:paraId="0729EE34" w14:textId="77777777" w:rsidR="004B7AA6" w:rsidRPr="00C5676E" w:rsidRDefault="004B7AA6" w:rsidP="00C021CE">
      <w:pPr>
        <w:rPr>
          <w:rStyle w:val="IntenseEmphasis"/>
          <w:i w:val="0"/>
          <w:iCs w:val="0"/>
          <w:color w:val="auto"/>
          <w:sz w:val="20"/>
          <w:szCs w:val="20"/>
        </w:rPr>
        <w:sectPr w:rsidR="004B7AA6" w:rsidRPr="00C5676E" w:rsidSect="00700E93">
          <w:headerReference w:type="first" r:id="rId10"/>
          <w:footerReference w:type="first" r:id="rId11"/>
          <w:pgSz w:w="12240" w:h="15840" w:code="1"/>
          <w:pgMar w:top="1440" w:right="1440" w:bottom="1440" w:left="1440" w:header="720" w:footer="720" w:gutter="0"/>
          <w:pgNumType w:start="1" w:chapStyle="1"/>
          <w:cols w:space="720"/>
          <w:titlePg/>
          <w:docGrid w:linePitch="360"/>
        </w:sectPr>
      </w:pPr>
      <w:r w:rsidRPr="00C5676E">
        <w:rPr>
          <w:rStyle w:val="IntenseEmphasis"/>
          <w:i w:val="0"/>
          <w:iCs w:val="0"/>
          <w:noProof/>
          <w:color w:val="auto"/>
          <w:sz w:val="20"/>
          <w:szCs w:val="20"/>
        </w:rPr>
        <w:fldChar w:fldCharType="end"/>
      </w:r>
    </w:p>
    <w:p w14:paraId="6EA40346" w14:textId="77777777" w:rsidR="004B7AA6" w:rsidRPr="00C5676E" w:rsidRDefault="004B7AA6" w:rsidP="004B7AA6">
      <w:pPr>
        <w:pStyle w:val="Heading1"/>
        <w:tabs>
          <w:tab w:val="num" w:pos="432"/>
        </w:tabs>
        <w:spacing w:before="0" w:after="240"/>
        <w:ind w:left="432" w:hanging="432"/>
        <w:rPr>
          <w:rStyle w:val="IntenseEmphasis"/>
          <w:b w:val="0"/>
          <w:bCs w:val="0"/>
          <w:i w:val="0"/>
          <w:iCs w:val="0"/>
          <w:color w:val="auto"/>
          <w:sz w:val="20"/>
          <w:szCs w:val="20"/>
        </w:rPr>
        <w:sectPr w:rsidR="004B7AA6" w:rsidRPr="00C5676E" w:rsidSect="00700E93">
          <w:headerReference w:type="default" r:id="rId12"/>
          <w:footerReference w:type="default" r:id="rId13"/>
          <w:type w:val="continuous"/>
          <w:pgSz w:w="12240" w:h="15840" w:code="1"/>
          <w:pgMar w:top="1440" w:right="1440" w:bottom="1440" w:left="1440" w:header="720" w:footer="720" w:gutter="0"/>
          <w:pgNumType w:start="1" w:chapStyle="1"/>
          <w:cols w:space="720"/>
          <w:docGrid w:linePitch="360"/>
        </w:sectPr>
      </w:pPr>
    </w:p>
    <w:p w14:paraId="251E9216" w14:textId="77777777" w:rsidR="004B7AA6" w:rsidRPr="009768F6" w:rsidRDefault="00793130" w:rsidP="000C59E9">
      <w:pPr>
        <w:pStyle w:val="Heading1"/>
        <w:tabs>
          <w:tab w:val="clear" w:pos="1224"/>
          <w:tab w:val="left" w:pos="630"/>
          <w:tab w:val="num" w:pos="720"/>
        </w:tabs>
        <w:ind w:left="540" w:hanging="540"/>
        <w:rPr>
          <w:rFonts w:ascii="Times New Roman" w:hAnsi="Times New Roman" w:cs="Times New Roman"/>
          <w:kern w:val="0"/>
          <w:sz w:val="24"/>
          <w:szCs w:val="24"/>
        </w:rPr>
      </w:pPr>
      <w:bookmarkStart w:id="0" w:name="_Toc311210840"/>
      <w:r w:rsidRPr="009768F6">
        <w:rPr>
          <w:rFonts w:ascii="Times New Roman" w:hAnsi="Times New Roman" w:cs="Times New Roman"/>
          <w:kern w:val="0"/>
          <w:sz w:val="24"/>
          <w:szCs w:val="24"/>
        </w:rPr>
        <w:lastRenderedPageBreak/>
        <w:t>NETWORK OPERATIONS MODELING REQUIREMENTS</w:t>
      </w:r>
      <w:bookmarkEnd w:id="0"/>
    </w:p>
    <w:p w14:paraId="20D720FF" w14:textId="77777777" w:rsidR="00793130" w:rsidRPr="00793130" w:rsidRDefault="00793130" w:rsidP="009768F6">
      <w:pPr>
        <w:tabs>
          <w:tab w:val="left" w:pos="900"/>
        </w:tabs>
        <w:spacing w:before="480" w:after="240"/>
        <w:ind w:left="907" w:hanging="907"/>
        <w:outlineLvl w:val="1"/>
        <w:rPr>
          <w:b/>
          <w:szCs w:val="20"/>
        </w:rPr>
      </w:pPr>
      <w:bookmarkStart w:id="1" w:name="_Toc149637684"/>
      <w:bookmarkStart w:id="2" w:name="_Toc26691866"/>
      <w:bookmarkStart w:id="3" w:name="_Toc274029536"/>
      <w:bookmarkStart w:id="4" w:name="_Toc311210841"/>
      <w:bookmarkEnd w:id="1"/>
      <w:r w:rsidRPr="00793130">
        <w:rPr>
          <w:b/>
          <w:szCs w:val="20"/>
        </w:rPr>
        <w:t>5.1</w:t>
      </w:r>
      <w:r w:rsidRPr="00793130">
        <w:rPr>
          <w:b/>
          <w:szCs w:val="20"/>
        </w:rPr>
        <w:tab/>
        <w:t>System Modeling Information</w:t>
      </w:r>
      <w:bookmarkEnd w:id="2"/>
      <w:bookmarkEnd w:id="3"/>
      <w:bookmarkEnd w:id="4"/>
      <w:r w:rsidR="002E7BAF">
        <w:rPr>
          <w:b/>
          <w:szCs w:val="20"/>
        </w:rPr>
        <w:t xml:space="preserve"> </w:t>
      </w:r>
    </w:p>
    <w:p w14:paraId="7819A9A7" w14:textId="77777777" w:rsidR="00793130" w:rsidRPr="00C0054C" w:rsidRDefault="00EE3360" w:rsidP="00EE3360">
      <w:pPr>
        <w:pStyle w:val="BodyTex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left="720" w:hanging="720"/>
        <w:jc w:val="left"/>
        <w:rPr>
          <w:iCs/>
          <w:spacing w:val="0"/>
        </w:rPr>
      </w:pPr>
      <w:r>
        <w:rPr>
          <w:iCs/>
          <w:spacing w:val="0"/>
        </w:rPr>
        <w:t>(1)</w:t>
      </w:r>
      <w:r>
        <w:rPr>
          <w:iCs/>
          <w:spacing w:val="0"/>
        </w:rPr>
        <w:tab/>
      </w:r>
      <w:r w:rsidR="00793130" w:rsidRPr="00C0054C">
        <w:rPr>
          <w:iCs/>
          <w:spacing w:val="0"/>
        </w:rPr>
        <w:t>Information on existing and future ERCOT System components and topology is necessary for ERCOT to create databases and perform tests as outlined in these criteria.  To ensure that such information is made available to ERCOT, the following actions by Market Participants are required:</w:t>
      </w:r>
    </w:p>
    <w:p w14:paraId="0B8E75C4" w14:textId="77777777" w:rsidR="00793130" w:rsidRPr="00C0054C" w:rsidRDefault="00793130" w:rsidP="00C0054C">
      <w:pPr>
        <w:pStyle w:val="List"/>
        <w:spacing w:after="240"/>
        <w:ind w:left="1440" w:hanging="720"/>
        <w:rPr>
          <w:szCs w:val="20"/>
        </w:rPr>
      </w:pPr>
      <w:r w:rsidRPr="00C0054C">
        <w:rPr>
          <w:szCs w:val="20"/>
        </w:rPr>
        <w:t>(</w:t>
      </w:r>
      <w:r w:rsidR="00C0054C">
        <w:rPr>
          <w:szCs w:val="20"/>
        </w:rPr>
        <w:t>a</w:t>
      </w:r>
      <w:r w:rsidRPr="00C0054C">
        <w:rPr>
          <w:szCs w:val="20"/>
        </w:rPr>
        <w:t>)</w:t>
      </w:r>
      <w:r w:rsidRPr="00C0054C">
        <w:rPr>
          <w:szCs w:val="20"/>
        </w:rPr>
        <w:tab/>
        <w:t>Each Transmission Service Provider (TSP), or its Designated Agent, shall provide accurate modeling information for all Transmission Facilities owned or planned by the TSP.  The information provided shall include, but not be limited to, the following:</w:t>
      </w:r>
    </w:p>
    <w:p w14:paraId="73488AAF" w14:textId="77777777" w:rsidR="00793130" w:rsidRPr="00C0054C" w:rsidRDefault="00793130" w:rsidP="00C0054C">
      <w:pPr>
        <w:pStyle w:val="List2"/>
        <w:spacing w:after="240"/>
        <w:ind w:left="2160" w:hanging="720"/>
        <w:rPr>
          <w:szCs w:val="20"/>
        </w:rPr>
      </w:pPr>
      <w:r w:rsidRPr="00C0054C">
        <w:rPr>
          <w:szCs w:val="20"/>
        </w:rPr>
        <w:t>(</w:t>
      </w:r>
      <w:r w:rsidR="00C0054C">
        <w:rPr>
          <w:szCs w:val="20"/>
        </w:rPr>
        <w:t>i</w:t>
      </w:r>
      <w:r w:rsidRPr="00C0054C">
        <w:rPr>
          <w:szCs w:val="20"/>
        </w:rPr>
        <w:t>)</w:t>
      </w:r>
      <w:r w:rsidRPr="00C0054C">
        <w:rPr>
          <w:szCs w:val="20"/>
        </w:rPr>
        <w:tab/>
        <w:t>Information necessary to represent the TSP’s Transmission Facilities in any model of the ERCOT Transmission Grid whose creation has been approved by ERCOT, including modeling information detailed in procedures of the Steady State Working Group (SSWG), Dynamics Working Group (DWG), and System Protection Working Group (SPWG);</w:t>
      </w:r>
    </w:p>
    <w:p w14:paraId="40FD5B67" w14:textId="77777777" w:rsidR="00793130" w:rsidRPr="00C0054C" w:rsidRDefault="00793130" w:rsidP="00C0054C">
      <w:pPr>
        <w:pStyle w:val="List2"/>
        <w:spacing w:after="240"/>
        <w:ind w:left="2160" w:hanging="720"/>
        <w:rPr>
          <w:szCs w:val="20"/>
        </w:rPr>
      </w:pPr>
      <w:r w:rsidRPr="00C0054C">
        <w:rPr>
          <w:szCs w:val="20"/>
        </w:rPr>
        <w:t>(</w:t>
      </w:r>
      <w:r w:rsidR="00C0054C">
        <w:rPr>
          <w:szCs w:val="20"/>
        </w:rPr>
        <w:t>ii</w:t>
      </w:r>
      <w:r w:rsidRPr="00C0054C">
        <w:rPr>
          <w:szCs w:val="20"/>
        </w:rPr>
        <w:t>)</w:t>
      </w:r>
      <w:r w:rsidRPr="00C0054C">
        <w:rPr>
          <w:szCs w:val="20"/>
        </w:rPr>
        <w:tab/>
        <w:t xml:space="preserve">Identification of a designated contact person, generally regarded as the working group TSP representative, responsible for providing answers to questions ERCOT may have regarding the information provided; and </w:t>
      </w:r>
    </w:p>
    <w:p w14:paraId="52A853C3" w14:textId="77777777" w:rsidR="00793130" w:rsidRPr="00C0054C" w:rsidRDefault="00793130" w:rsidP="00C0054C">
      <w:pPr>
        <w:pStyle w:val="List2"/>
        <w:spacing w:after="240"/>
        <w:ind w:left="2160" w:hanging="720"/>
        <w:rPr>
          <w:szCs w:val="20"/>
        </w:rPr>
      </w:pPr>
      <w:r w:rsidRPr="00C0054C">
        <w:rPr>
          <w:szCs w:val="20"/>
        </w:rPr>
        <w:t>(</w:t>
      </w:r>
      <w:r w:rsidR="00C0054C">
        <w:rPr>
          <w:szCs w:val="20"/>
        </w:rPr>
        <w:t>iii</w:t>
      </w:r>
      <w:r w:rsidRPr="00C0054C">
        <w:rPr>
          <w:szCs w:val="20"/>
        </w:rPr>
        <w:t>)</w:t>
      </w:r>
      <w:r w:rsidRPr="00C0054C">
        <w:rPr>
          <w:szCs w:val="20"/>
        </w:rPr>
        <w:tab/>
        <w:t xml:space="preserve">TSP owned or operated Transmission Facility data provided and used to accurately represent a Transmission Facility in a </w:t>
      </w:r>
      <w:proofErr w:type="gramStart"/>
      <w:r w:rsidRPr="00C0054C">
        <w:rPr>
          <w:szCs w:val="20"/>
        </w:rPr>
        <w:t>model</w:t>
      </w:r>
      <w:proofErr w:type="gramEnd"/>
      <w:r w:rsidRPr="00C0054C">
        <w:rPr>
          <w:szCs w:val="20"/>
        </w:rPr>
        <w:t xml:space="preserve"> shall be consistent to the extent practicable with data provided and used to represent that same Transmission Facility in any other model created to represent </w:t>
      </w:r>
      <w:proofErr w:type="gramStart"/>
      <w:r w:rsidRPr="00C0054C">
        <w:rPr>
          <w:szCs w:val="20"/>
        </w:rPr>
        <w:t>a time period</w:t>
      </w:r>
      <w:proofErr w:type="gramEnd"/>
      <w:r w:rsidRPr="00C0054C">
        <w:rPr>
          <w:szCs w:val="20"/>
        </w:rPr>
        <w:t xml:space="preserve"> during which the Transmission Facility is expected to be physically identical.  All existing transmission </w:t>
      </w:r>
      <w:proofErr w:type="gramStart"/>
      <w:r w:rsidRPr="00C0054C">
        <w:rPr>
          <w:szCs w:val="20"/>
        </w:rPr>
        <w:t>lines’</w:t>
      </w:r>
      <w:proofErr w:type="gramEnd"/>
      <w:r w:rsidRPr="00C0054C">
        <w:rPr>
          <w:szCs w:val="20"/>
        </w:rPr>
        <w:t xml:space="preserve"> and transformers’ impedances, or equivalent branch circuit impedance, and Ratings shall be identical, to the extent practicable.  If all normally closed breakers and switches are closed and normally open breakers and switches are open in the Network Operations Model, the calculated line flows between substations in the Annual Planning Model shall be consistent, when all models use the same load magnitude and distribution, generation commitment and dispatch, and Voltage Profile.</w:t>
      </w:r>
    </w:p>
    <w:p w14:paraId="1EA23569" w14:textId="77777777" w:rsidR="00793130" w:rsidRPr="00C0054C" w:rsidRDefault="00793130" w:rsidP="00C0054C">
      <w:pPr>
        <w:pStyle w:val="List"/>
        <w:spacing w:after="240"/>
        <w:ind w:left="1440" w:hanging="720"/>
        <w:rPr>
          <w:szCs w:val="20"/>
        </w:rPr>
      </w:pPr>
      <w:r w:rsidRPr="00C0054C">
        <w:rPr>
          <w:szCs w:val="20"/>
        </w:rPr>
        <w:t>(</w:t>
      </w:r>
      <w:r w:rsidR="001C7CAB">
        <w:rPr>
          <w:szCs w:val="20"/>
        </w:rPr>
        <w:t>b</w:t>
      </w:r>
      <w:r w:rsidRPr="00C0054C">
        <w:rPr>
          <w:szCs w:val="20"/>
        </w:rPr>
        <w:t>)</w:t>
      </w:r>
      <w:r w:rsidRPr="00C0054C">
        <w:rPr>
          <w:szCs w:val="20"/>
        </w:rPr>
        <w:tab/>
      </w:r>
      <w:r w:rsidR="001C7CAB">
        <w:rPr>
          <w:szCs w:val="20"/>
        </w:rPr>
        <w:t>E</w:t>
      </w:r>
      <w:r w:rsidRPr="00C0054C">
        <w:rPr>
          <w:szCs w:val="20"/>
        </w:rPr>
        <w:t>ach TSP</w:t>
      </w:r>
      <w:r w:rsidR="001C7CAB">
        <w:rPr>
          <w:szCs w:val="20"/>
        </w:rPr>
        <w:t>, or its Designated Agent,</w:t>
      </w:r>
      <w:r w:rsidRPr="00C0054C">
        <w:rPr>
          <w:szCs w:val="20"/>
        </w:rPr>
        <w:t xml:space="preserve"> owning or planning Transmission Facilities shall attend the scheduled meetings and otherwise participate in the activities of the SSWG, DWG, and the SPWG, unless specifically exempted from these activities by ERCOT.</w:t>
      </w:r>
    </w:p>
    <w:p w14:paraId="4FE7C141" w14:textId="163C8343" w:rsidR="00793130" w:rsidRPr="00C0054C" w:rsidRDefault="00793130" w:rsidP="00C0054C">
      <w:pPr>
        <w:pStyle w:val="List"/>
        <w:spacing w:after="240"/>
        <w:ind w:left="1440" w:hanging="720"/>
        <w:rPr>
          <w:szCs w:val="20"/>
        </w:rPr>
      </w:pPr>
      <w:r w:rsidRPr="00C0054C">
        <w:rPr>
          <w:szCs w:val="20"/>
        </w:rPr>
        <w:t>(</w:t>
      </w:r>
      <w:r w:rsidR="001C7CAB">
        <w:rPr>
          <w:szCs w:val="20"/>
        </w:rPr>
        <w:t>c</w:t>
      </w:r>
      <w:r w:rsidRPr="00C0054C">
        <w:rPr>
          <w:szCs w:val="20"/>
        </w:rPr>
        <w:t>)</w:t>
      </w:r>
      <w:r w:rsidRPr="00C0054C">
        <w:rPr>
          <w:szCs w:val="20"/>
        </w:rPr>
        <w:tab/>
        <w:t>Each Generation Resource</w:t>
      </w:r>
      <w:r w:rsidR="00AC217C">
        <w:rPr>
          <w:szCs w:val="20"/>
        </w:rPr>
        <w:t xml:space="preserve"> and Energy Storage Resource (ESR)</w:t>
      </w:r>
      <w:r w:rsidRPr="00C0054C">
        <w:rPr>
          <w:szCs w:val="20"/>
        </w:rPr>
        <w:t xml:space="preserve">, or </w:t>
      </w:r>
      <w:r w:rsidR="00AC217C">
        <w:rPr>
          <w:szCs w:val="20"/>
        </w:rPr>
        <w:t>a</w:t>
      </w:r>
      <w:r w:rsidRPr="00C0054C">
        <w:rPr>
          <w:szCs w:val="20"/>
        </w:rPr>
        <w:t xml:space="preserve"> Designated Agent</w:t>
      </w:r>
      <w:r w:rsidR="00AC217C">
        <w:rPr>
          <w:szCs w:val="20"/>
        </w:rPr>
        <w:t xml:space="preserve"> for the Resource</w:t>
      </w:r>
      <w:r w:rsidRPr="00C0054C">
        <w:rPr>
          <w:szCs w:val="20"/>
        </w:rPr>
        <w:t xml:space="preserve">, shall provide accurate modeling information for each existing or </w:t>
      </w:r>
      <w:r w:rsidR="001C7CAB">
        <w:rPr>
          <w:szCs w:val="20"/>
        </w:rPr>
        <w:t>proposed</w:t>
      </w:r>
      <w:r w:rsidRPr="00C0054C">
        <w:rPr>
          <w:szCs w:val="20"/>
        </w:rPr>
        <w:t xml:space="preserve"> </w:t>
      </w:r>
      <w:r w:rsidR="004C7B06">
        <w:rPr>
          <w:szCs w:val="20"/>
        </w:rPr>
        <w:t>Resource</w:t>
      </w:r>
      <w:r w:rsidR="001C7CAB">
        <w:rPr>
          <w:szCs w:val="20"/>
        </w:rPr>
        <w:t xml:space="preserve"> meeting the criteria for inclusion in the SSWG, </w:t>
      </w:r>
      <w:r w:rsidR="001C7CAB">
        <w:rPr>
          <w:szCs w:val="20"/>
        </w:rPr>
        <w:lastRenderedPageBreak/>
        <w:t>DWG, and SPWG base cases</w:t>
      </w:r>
      <w:r w:rsidRPr="00C0054C">
        <w:rPr>
          <w:szCs w:val="20"/>
        </w:rPr>
        <w:t xml:space="preserve"> for which it is the majority owner.  The information provided shall include, but not be limited to, the following:</w:t>
      </w:r>
    </w:p>
    <w:p w14:paraId="08EDB8BA" w14:textId="2A8470EA" w:rsidR="00793130" w:rsidRPr="00C0054C" w:rsidRDefault="00406A5B" w:rsidP="00C0054C">
      <w:pPr>
        <w:pStyle w:val="List2"/>
        <w:spacing w:after="240"/>
        <w:ind w:left="2160" w:hanging="720"/>
        <w:rPr>
          <w:szCs w:val="20"/>
        </w:rPr>
      </w:pPr>
      <w:r>
        <w:rPr>
          <w:szCs w:val="20"/>
        </w:rPr>
        <w:t>(</w:t>
      </w:r>
      <w:r w:rsidR="00C0054C">
        <w:rPr>
          <w:szCs w:val="20"/>
        </w:rPr>
        <w:t>i</w:t>
      </w:r>
      <w:r w:rsidR="00793130" w:rsidRPr="00C0054C">
        <w:rPr>
          <w:szCs w:val="20"/>
        </w:rPr>
        <w:t>)</w:t>
      </w:r>
      <w:r w:rsidR="00793130" w:rsidRPr="00C0054C">
        <w:rPr>
          <w:szCs w:val="20"/>
        </w:rPr>
        <w:tab/>
        <w:t>Information necessary to represent the Resource’s generation and interconnection facilities in any model of the ERCOT System whose creation has been approved by ERCOT, including modeling information detailed in procedures of the SSWG, DWG, and SPWG; and</w:t>
      </w:r>
    </w:p>
    <w:p w14:paraId="22D47071" w14:textId="77777777" w:rsidR="00793130" w:rsidRPr="00C0054C" w:rsidRDefault="00793130" w:rsidP="00C0054C">
      <w:pPr>
        <w:pStyle w:val="List2"/>
        <w:spacing w:after="240"/>
        <w:ind w:left="2160" w:hanging="720"/>
        <w:rPr>
          <w:szCs w:val="20"/>
        </w:rPr>
      </w:pPr>
      <w:r w:rsidRPr="00C0054C">
        <w:rPr>
          <w:szCs w:val="20"/>
        </w:rPr>
        <w:t>(</w:t>
      </w:r>
      <w:r w:rsidR="00C0054C">
        <w:rPr>
          <w:szCs w:val="20"/>
        </w:rPr>
        <w:t>ii</w:t>
      </w:r>
      <w:r w:rsidRPr="00C0054C">
        <w:rPr>
          <w:szCs w:val="20"/>
        </w:rPr>
        <w:t>)</w:t>
      </w:r>
      <w:r w:rsidRPr="00C0054C">
        <w:rPr>
          <w:szCs w:val="20"/>
        </w:rPr>
        <w:tab/>
        <w:t>Identification of a designated contact person responsible for providing answers to questions ERCOT may have regarding the information provided.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2E1CF3" w:rsidRPr="002E1CF3" w14:paraId="458AB061" w14:textId="77777777" w:rsidTr="00BA61EE">
        <w:tc>
          <w:tcPr>
            <w:tcW w:w="9563" w:type="dxa"/>
            <w:tcBorders>
              <w:top w:val="single" w:sz="4" w:space="0" w:color="auto"/>
              <w:left w:val="single" w:sz="4" w:space="0" w:color="auto"/>
              <w:bottom w:val="single" w:sz="4" w:space="0" w:color="auto"/>
              <w:right w:val="single" w:sz="4" w:space="0" w:color="auto"/>
            </w:tcBorders>
            <w:shd w:val="clear" w:color="auto" w:fill="D9D9D9"/>
          </w:tcPr>
          <w:p w14:paraId="4AEA73B8" w14:textId="64B91FB3" w:rsidR="002E1CF3" w:rsidRPr="002E1CF3" w:rsidRDefault="002E1CF3" w:rsidP="002E1CF3">
            <w:pPr>
              <w:spacing w:before="120" w:after="240"/>
              <w:rPr>
                <w:b/>
                <w:i/>
              </w:rPr>
            </w:pPr>
            <w:r w:rsidRPr="002E1CF3">
              <w:rPr>
                <w:b/>
                <w:i/>
              </w:rPr>
              <w:t xml:space="preserve">[NOGRR177:  Replace </w:t>
            </w:r>
            <w:r>
              <w:rPr>
                <w:b/>
                <w:i/>
              </w:rPr>
              <w:t>paragraph (c</w:t>
            </w:r>
            <w:r w:rsidRPr="002E1CF3">
              <w:rPr>
                <w:b/>
                <w:i/>
              </w:rPr>
              <w:t>) above with the following upon system implementation of NPRR857:]</w:t>
            </w:r>
          </w:p>
          <w:p w14:paraId="1F663D6D" w14:textId="77777777" w:rsidR="002E1CF3" w:rsidRPr="00C0054C" w:rsidRDefault="002E1CF3" w:rsidP="002E1CF3">
            <w:pPr>
              <w:pStyle w:val="List"/>
              <w:spacing w:after="240"/>
              <w:ind w:left="1440" w:hanging="720"/>
              <w:rPr>
                <w:szCs w:val="20"/>
              </w:rPr>
            </w:pPr>
            <w:r w:rsidRPr="00C0054C">
              <w:rPr>
                <w:szCs w:val="20"/>
              </w:rPr>
              <w:t>(</w:t>
            </w:r>
            <w:r>
              <w:rPr>
                <w:szCs w:val="20"/>
              </w:rPr>
              <w:t>c</w:t>
            </w:r>
            <w:r w:rsidRPr="00C0054C">
              <w:rPr>
                <w:szCs w:val="20"/>
              </w:rPr>
              <w:t>)</w:t>
            </w:r>
            <w:r w:rsidRPr="00C0054C">
              <w:rPr>
                <w:szCs w:val="20"/>
              </w:rPr>
              <w:tab/>
              <w:t xml:space="preserve">Each Generation Resource, </w:t>
            </w:r>
            <w:r w:rsidR="008236B2">
              <w:rPr>
                <w:szCs w:val="20"/>
              </w:rPr>
              <w:t>Energy Storage Resource (ESR)</w:t>
            </w:r>
            <w:r w:rsidR="005503DE">
              <w:rPr>
                <w:szCs w:val="20"/>
              </w:rPr>
              <w:t xml:space="preserve">, </w:t>
            </w:r>
            <w:r w:rsidRPr="00C0054C">
              <w:rPr>
                <w:szCs w:val="20"/>
              </w:rPr>
              <w:t>or</w:t>
            </w:r>
            <w:r>
              <w:rPr>
                <w:szCs w:val="20"/>
              </w:rPr>
              <w:t xml:space="preserve"> Direct Current Tie Operator (DCTO), or</w:t>
            </w:r>
            <w:r w:rsidRPr="00C0054C">
              <w:rPr>
                <w:szCs w:val="20"/>
              </w:rPr>
              <w:t xml:space="preserve"> </w:t>
            </w:r>
            <w:r w:rsidR="008236B2">
              <w:rPr>
                <w:szCs w:val="20"/>
              </w:rPr>
              <w:t>a</w:t>
            </w:r>
            <w:r w:rsidRPr="00C0054C">
              <w:rPr>
                <w:szCs w:val="20"/>
              </w:rPr>
              <w:t xml:space="preserve"> Designated Agent</w:t>
            </w:r>
            <w:r w:rsidR="008236B2">
              <w:rPr>
                <w:szCs w:val="20"/>
              </w:rPr>
              <w:t xml:space="preserve"> for the Resource or DCTO</w:t>
            </w:r>
            <w:r w:rsidRPr="00C0054C">
              <w:rPr>
                <w:szCs w:val="20"/>
              </w:rPr>
              <w:t xml:space="preserve">, shall provide accurate modeling information for each existing or </w:t>
            </w:r>
            <w:r>
              <w:rPr>
                <w:szCs w:val="20"/>
              </w:rPr>
              <w:t>proposed</w:t>
            </w:r>
            <w:r w:rsidRPr="00C0054C">
              <w:rPr>
                <w:szCs w:val="20"/>
              </w:rPr>
              <w:t xml:space="preserve"> </w:t>
            </w:r>
            <w:r>
              <w:rPr>
                <w:szCs w:val="20"/>
              </w:rPr>
              <w:t>Resource or Transmission Facility meeting the criteria for inclusion in the SSWG, DWG, and SPWG base cases</w:t>
            </w:r>
            <w:r w:rsidRPr="00C0054C">
              <w:rPr>
                <w:szCs w:val="20"/>
              </w:rPr>
              <w:t xml:space="preserve"> for which </w:t>
            </w:r>
            <w:r>
              <w:rPr>
                <w:szCs w:val="20"/>
              </w:rPr>
              <w:t>the Resource or DCTO</w:t>
            </w:r>
            <w:r w:rsidRPr="00C0054C">
              <w:rPr>
                <w:szCs w:val="20"/>
              </w:rPr>
              <w:t xml:space="preserve"> is the majority owner.  The information provided shall include, but not be limited to, the following:</w:t>
            </w:r>
          </w:p>
          <w:p w14:paraId="304F416F" w14:textId="77777777" w:rsidR="002E1CF3" w:rsidRPr="00C0054C" w:rsidRDefault="002E1CF3" w:rsidP="002E1CF3">
            <w:pPr>
              <w:pStyle w:val="List2"/>
              <w:spacing w:after="240"/>
              <w:ind w:left="2160" w:hanging="720"/>
              <w:rPr>
                <w:szCs w:val="20"/>
              </w:rPr>
            </w:pPr>
            <w:r>
              <w:rPr>
                <w:szCs w:val="20"/>
              </w:rPr>
              <w:t>(i</w:t>
            </w:r>
            <w:r w:rsidRPr="00C0054C">
              <w:rPr>
                <w:szCs w:val="20"/>
              </w:rPr>
              <w:t>)</w:t>
            </w:r>
            <w:r w:rsidRPr="00C0054C">
              <w:rPr>
                <w:szCs w:val="20"/>
              </w:rPr>
              <w:tab/>
              <w:t>Information necessary to represent the Resource’s generation and interconnection facilities</w:t>
            </w:r>
            <w:r>
              <w:rPr>
                <w:szCs w:val="20"/>
              </w:rPr>
              <w:t xml:space="preserve"> and the DCTO’s Transmission Facilities</w:t>
            </w:r>
            <w:r w:rsidRPr="00C0054C">
              <w:rPr>
                <w:szCs w:val="20"/>
              </w:rPr>
              <w:t xml:space="preserve"> in any model of the ERCOT System whose creation has been approved by ERCOT, including modeling information detailed in procedures of the SSWG, DWG, and SPWG; and</w:t>
            </w:r>
          </w:p>
          <w:p w14:paraId="6B8E1A0F" w14:textId="77777777" w:rsidR="002E1CF3" w:rsidRPr="002E1CF3" w:rsidRDefault="002E1CF3" w:rsidP="002E1CF3">
            <w:pPr>
              <w:pStyle w:val="List2"/>
              <w:spacing w:after="240"/>
              <w:ind w:left="2160" w:hanging="720"/>
              <w:rPr>
                <w:szCs w:val="20"/>
              </w:rPr>
            </w:pPr>
            <w:r w:rsidRPr="00C0054C">
              <w:rPr>
                <w:szCs w:val="20"/>
              </w:rPr>
              <w:t>(</w:t>
            </w:r>
            <w:r>
              <w:rPr>
                <w:szCs w:val="20"/>
              </w:rPr>
              <w:t>ii</w:t>
            </w:r>
            <w:r w:rsidRPr="00C0054C">
              <w:rPr>
                <w:szCs w:val="20"/>
              </w:rPr>
              <w:t>)</w:t>
            </w:r>
            <w:r w:rsidRPr="00C0054C">
              <w:rPr>
                <w:szCs w:val="20"/>
              </w:rPr>
              <w:tab/>
              <w:t>Identification of a designated contact person responsible for providing answers to questions ERCOT may have regarding the information provided.</w:t>
            </w:r>
          </w:p>
        </w:tc>
      </w:tr>
    </w:tbl>
    <w:p w14:paraId="749D47AF" w14:textId="77777777" w:rsidR="00793130" w:rsidRPr="00C0054C" w:rsidRDefault="00793130" w:rsidP="002E1CF3">
      <w:pPr>
        <w:pStyle w:val="List"/>
        <w:spacing w:before="240" w:after="240"/>
        <w:ind w:left="1440" w:hanging="720"/>
        <w:rPr>
          <w:szCs w:val="20"/>
        </w:rPr>
      </w:pPr>
      <w:proofErr w:type="gramStart"/>
      <w:r w:rsidRPr="00C0054C">
        <w:rPr>
          <w:szCs w:val="20"/>
        </w:rPr>
        <w:t>(</w:t>
      </w:r>
      <w:r w:rsidR="001C7CAB">
        <w:rPr>
          <w:szCs w:val="20"/>
        </w:rPr>
        <w:t>d</w:t>
      </w:r>
      <w:r w:rsidRPr="00C0054C">
        <w:rPr>
          <w:szCs w:val="20"/>
        </w:rPr>
        <w:t>)</w:t>
      </w:r>
      <w:r w:rsidRPr="00C0054C">
        <w:rPr>
          <w:szCs w:val="20"/>
        </w:rPr>
        <w:tab/>
        <w:t>Typical</w:t>
      </w:r>
      <w:proofErr w:type="gramEnd"/>
      <w:r w:rsidRPr="00C0054C">
        <w:rPr>
          <w:szCs w:val="20"/>
        </w:rPr>
        <w:t xml:space="preserve"> or representative information may be provided for planned facility additions or modifications</w:t>
      </w:r>
      <w:r w:rsidR="001C7CAB">
        <w:rPr>
          <w:szCs w:val="20"/>
        </w:rPr>
        <w:t xml:space="preserve"> for use in the SSWG, DWG, and SPWG base cases</w:t>
      </w:r>
      <w:r w:rsidRPr="00C0054C">
        <w:rPr>
          <w:szCs w:val="20"/>
        </w:rPr>
        <w:t>, but such information</w:t>
      </w:r>
      <w:r w:rsidR="00F50CA2">
        <w:rPr>
          <w:szCs w:val="20"/>
        </w:rPr>
        <w:t xml:space="preserve"> shall be revised using actual design or construction information</w:t>
      </w:r>
      <w:r w:rsidR="001C7CAB">
        <w:rPr>
          <w:szCs w:val="20"/>
        </w:rPr>
        <w:t xml:space="preserve"> in accordance with the </w:t>
      </w:r>
      <w:proofErr w:type="gramStart"/>
      <w:r w:rsidR="001C7CAB">
        <w:rPr>
          <w:szCs w:val="20"/>
        </w:rPr>
        <w:t>time line</w:t>
      </w:r>
      <w:proofErr w:type="gramEnd"/>
      <w:r w:rsidR="001C7CAB">
        <w:rPr>
          <w:szCs w:val="20"/>
        </w:rPr>
        <w:t xml:space="preserve"> for Network Operations Model changes outlined in </w:t>
      </w:r>
      <w:r w:rsidR="001C7CAB" w:rsidRPr="009753B3">
        <w:rPr>
          <w:szCs w:val="20"/>
        </w:rPr>
        <w:t xml:space="preserve">Protocol Section 3.10.1, </w:t>
      </w:r>
      <w:proofErr w:type="gramStart"/>
      <w:r w:rsidR="001C7CAB" w:rsidRPr="009753B3">
        <w:rPr>
          <w:szCs w:val="20"/>
        </w:rPr>
        <w:t>Time Line</w:t>
      </w:r>
      <w:proofErr w:type="gramEnd"/>
      <w:r w:rsidR="001C7CAB" w:rsidRPr="009753B3">
        <w:rPr>
          <w:szCs w:val="20"/>
        </w:rPr>
        <w:t xml:space="preserve"> for Network Operations Model Changes</w:t>
      </w:r>
      <w:r w:rsidRPr="00C0054C">
        <w:rPr>
          <w:szCs w:val="20"/>
        </w:rPr>
        <w:t xml:space="preserve">.  </w:t>
      </w:r>
    </w:p>
    <w:p w14:paraId="50D40B98" w14:textId="77777777" w:rsidR="00793130" w:rsidRPr="00C0054C" w:rsidRDefault="00793130" w:rsidP="00C0054C">
      <w:pPr>
        <w:pStyle w:val="List"/>
        <w:spacing w:after="240"/>
        <w:ind w:left="1440" w:hanging="720"/>
        <w:rPr>
          <w:szCs w:val="20"/>
        </w:rPr>
      </w:pPr>
      <w:r w:rsidRPr="00C0054C">
        <w:rPr>
          <w:szCs w:val="20"/>
        </w:rPr>
        <w:t>(</w:t>
      </w:r>
      <w:r w:rsidR="001C7CAB">
        <w:rPr>
          <w:szCs w:val="20"/>
        </w:rPr>
        <w:t>e</w:t>
      </w:r>
      <w:r w:rsidRPr="00C0054C">
        <w:rPr>
          <w:szCs w:val="20"/>
        </w:rPr>
        <w:t>)</w:t>
      </w:r>
      <w:r w:rsidRPr="00C0054C">
        <w:rPr>
          <w:szCs w:val="20"/>
        </w:rPr>
        <w:tab/>
        <w:t xml:space="preserve">Congestion Revenue Right (CRR) Network Model Outage determination uses network topology of the CRR Network Model identified by ERCOT.  This must include Outages of Transmission Elements </w:t>
      </w:r>
      <w:r w:rsidR="00153D00">
        <w:rPr>
          <w:szCs w:val="20"/>
        </w:rPr>
        <w:t xml:space="preserve">with a status of </w:t>
      </w:r>
      <w:r w:rsidRPr="00C0054C">
        <w:rPr>
          <w:szCs w:val="20"/>
        </w:rPr>
        <w:t xml:space="preserve">approved </w:t>
      </w:r>
      <w:r w:rsidR="00153D00">
        <w:rPr>
          <w:szCs w:val="20"/>
        </w:rPr>
        <w:t xml:space="preserve">or accepted </w:t>
      </w:r>
      <w:r w:rsidRPr="00C0054C">
        <w:rPr>
          <w:szCs w:val="20"/>
        </w:rPr>
        <w:t xml:space="preserve">by ERCOT at the time the CRR Network Model is being built and that </w:t>
      </w:r>
      <w:proofErr w:type="gramStart"/>
      <w:r w:rsidRPr="00C0054C">
        <w:rPr>
          <w:szCs w:val="20"/>
        </w:rPr>
        <w:t>demonstrate</w:t>
      </w:r>
      <w:proofErr w:type="gramEnd"/>
      <w:r w:rsidRPr="00C0054C">
        <w:rPr>
          <w:szCs w:val="20"/>
        </w:rPr>
        <w:t xml:space="preserve"> significant impact to the transfer capability during the effective period.  ERCOT will consider including Outages in the CRR Network Model that </w:t>
      </w:r>
      <w:r w:rsidRPr="00C0054C">
        <w:rPr>
          <w:szCs w:val="20"/>
        </w:rPr>
        <w:lastRenderedPageBreak/>
        <w:t xml:space="preserve">are scheduled to occur in the relevant </w:t>
      </w:r>
      <w:proofErr w:type="gramStart"/>
      <w:r w:rsidRPr="00C0054C">
        <w:rPr>
          <w:szCs w:val="20"/>
        </w:rPr>
        <w:t>time period</w:t>
      </w:r>
      <w:proofErr w:type="gramEnd"/>
      <w:r w:rsidRPr="00C0054C">
        <w:rPr>
          <w:szCs w:val="20"/>
        </w:rPr>
        <w:t xml:space="preserve"> and meet one or more of the following criteria: </w:t>
      </w:r>
    </w:p>
    <w:p w14:paraId="71CDAC58" w14:textId="77777777" w:rsidR="00793130" w:rsidRPr="00C0054C" w:rsidRDefault="00793130" w:rsidP="00C0054C">
      <w:pPr>
        <w:pStyle w:val="List2"/>
        <w:spacing w:after="240"/>
        <w:ind w:left="2160" w:hanging="720"/>
        <w:rPr>
          <w:szCs w:val="20"/>
        </w:rPr>
      </w:pPr>
      <w:r w:rsidRPr="00C0054C">
        <w:rPr>
          <w:szCs w:val="20"/>
        </w:rPr>
        <w:t>(</w:t>
      </w:r>
      <w:r w:rsidR="00C0054C">
        <w:rPr>
          <w:szCs w:val="20"/>
        </w:rPr>
        <w:t>i</w:t>
      </w:r>
      <w:r w:rsidRPr="00C0054C">
        <w:rPr>
          <w:szCs w:val="20"/>
        </w:rPr>
        <w:t>)</w:t>
      </w:r>
      <w:r w:rsidRPr="00C0054C">
        <w:rPr>
          <w:szCs w:val="20"/>
        </w:rPr>
        <w:tab/>
        <w:t xml:space="preserve">Consecutive or continuous approved </w:t>
      </w:r>
      <w:r w:rsidR="00153D00">
        <w:rPr>
          <w:szCs w:val="20"/>
        </w:rPr>
        <w:t xml:space="preserve">or accepted </w:t>
      </w:r>
      <w:r w:rsidRPr="00C0054C">
        <w:rPr>
          <w:szCs w:val="20"/>
        </w:rPr>
        <w:t>Outages greater than or equal to five days;</w:t>
      </w:r>
    </w:p>
    <w:p w14:paraId="7A599BE9" w14:textId="77777777" w:rsidR="00793130" w:rsidRPr="00C0054C" w:rsidRDefault="00793130" w:rsidP="00C0054C">
      <w:pPr>
        <w:pStyle w:val="List2"/>
        <w:spacing w:after="240"/>
        <w:ind w:left="2160" w:hanging="720"/>
        <w:rPr>
          <w:szCs w:val="20"/>
        </w:rPr>
      </w:pPr>
      <w:r w:rsidRPr="00C0054C">
        <w:rPr>
          <w:szCs w:val="20"/>
        </w:rPr>
        <w:t>(</w:t>
      </w:r>
      <w:r w:rsidR="00C0054C">
        <w:rPr>
          <w:szCs w:val="20"/>
        </w:rPr>
        <w:t>ii</w:t>
      </w:r>
      <w:r w:rsidRPr="00C0054C">
        <w:rPr>
          <w:szCs w:val="20"/>
        </w:rPr>
        <w:t>)</w:t>
      </w:r>
      <w:r w:rsidRPr="00C0054C">
        <w:rPr>
          <w:szCs w:val="20"/>
        </w:rPr>
        <w:tab/>
        <w:t>Approved</w:t>
      </w:r>
      <w:r w:rsidR="00153D00">
        <w:rPr>
          <w:szCs w:val="20"/>
        </w:rPr>
        <w:t xml:space="preserve"> or accepted</w:t>
      </w:r>
      <w:r w:rsidRPr="00C0054C">
        <w:rPr>
          <w:szCs w:val="20"/>
        </w:rPr>
        <w:t xml:space="preserve"> Outages which include Transmission Elements included in the definition of a Hub;</w:t>
      </w:r>
    </w:p>
    <w:p w14:paraId="5ABF21DE" w14:textId="77777777" w:rsidR="00793130" w:rsidRPr="00C0054C" w:rsidRDefault="00793130" w:rsidP="00C0054C">
      <w:pPr>
        <w:pStyle w:val="List2"/>
        <w:spacing w:after="240"/>
        <w:ind w:left="2160" w:hanging="720"/>
        <w:rPr>
          <w:szCs w:val="20"/>
        </w:rPr>
      </w:pPr>
      <w:r w:rsidRPr="00C0054C">
        <w:rPr>
          <w:szCs w:val="20"/>
        </w:rPr>
        <w:t>(</w:t>
      </w:r>
      <w:r w:rsidR="00C0054C">
        <w:rPr>
          <w:szCs w:val="20"/>
        </w:rPr>
        <w:t>iii</w:t>
      </w:r>
      <w:r w:rsidRPr="00C0054C">
        <w:rPr>
          <w:szCs w:val="20"/>
        </w:rPr>
        <w:t>)</w:t>
      </w:r>
      <w:r w:rsidRPr="00C0054C">
        <w:rPr>
          <w:szCs w:val="20"/>
        </w:rPr>
        <w:tab/>
        <w:t xml:space="preserve">Approved </w:t>
      </w:r>
      <w:r w:rsidR="00153D00">
        <w:rPr>
          <w:szCs w:val="20"/>
        </w:rPr>
        <w:t xml:space="preserve">or accepted </w:t>
      </w:r>
      <w:r w:rsidRPr="00C0054C">
        <w:rPr>
          <w:szCs w:val="20"/>
        </w:rPr>
        <w:t>Outages which include Transmission Elements in a 345 kV Transmission Facility;</w:t>
      </w:r>
    </w:p>
    <w:p w14:paraId="718334F6" w14:textId="77777777" w:rsidR="00793130" w:rsidRPr="00C0054C" w:rsidRDefault="00793130" w:rsidP="00C0054C">
      <w:pPr>
        <w:pStyle w:val="List2"/>
        <w:spacing w:after="240"/>
        <w:ind w:left="2160" w:hanging="720"/>
        <w:rPr>
          <w:szCs w:val="20"/>
        </w:rPr>
      </w:pPr>
      <w:r w:rsidRPr="00C0054C">
        <w:rPr>
          <w:szCs w:val="20"/>
        </w:rPr>
        <w:t>(</w:t>
      </w:r>
      <w:r w:rsidR="00C0054C">
        <w:rPr>
          <w:szCs w:val="20"/>
        </w:rPr>
        <w:t>iv</w:t>
      </w:r>
      <w:r w:rsidRPr="00C0054C">
        <w:rPr>
          <w:szCs w:val="20"/>
        </w:rPr>
        <w:t>)</w:t>
      </w:r>
      <w:r w:rsidRPr="00C0054C">
        <w:rPr>
          <w:szCs w:val="20"/>
        </w:rPr>
        <w:tab/>
        <w:t xml:space="preserve">Approved </w:t>
      </w:r>
      <w:r w:rsidR="00153D00">
        <w:rPr>
          <w:szCs w:val="20"/>
        </w:rPr>
        <w:t xml:space="preserve">or accepted </w:t>
      </w:r>
      <w:r w:rsidRPr="00C0054C">
        <w:rPr>
          <w:szCs w:val="20"/>
        </w:rPr>
        <w:t>Outages that require the use of a Block Load Transfer (BLT); and</w:t>
      </w:r>
    </w:p>
    <w:p w14:paraId="5193B01C" w14:textId="77777777" w:rsidR="00793130" w:rsidRPr="00C0054C" w:rsidRDefault="00793130" w:rsidP="00C0054C">
      <w:pPr>
        <w:pStyle w:val="List2"/>
        <w:spacing w:after="240"/>
        <w:ind w:left="2160" w:hanging="720"/>
        <w:rPr>
          <w:szCs w:val="20"/>
        </w:rPr>
      </w:pPr>
      <w:r w:rsidRPr="00C0054C">
        <w:rPr>
          <w:szCs w:val="20"/>
        </w:rPr>
        <w:t>(</w:t>
      </w:r>
      <w:r w:rsidR="00C0054C">
        <w:rPr>
          <w:szCs w:val="20"/>
        </w:rPr>
        <w:t>v</w:t>
      </w:r>
      <w:r w:rsidRPr="00C0054C">
        <w:rPr>
          <w:szCs w:val="20"/>
        </w:rPr>
        <w:t>)</w:t>
      </w:r>
      <w:r w:rsidRPr="00C0054C">
        <w:rPr>
          <w:szCs w:val="20"/>
        </w:rPr>
        <w:tab/>
        <w:t xml:space="preserve">Any other approved </w:t>
      </w:r>
      <w:r w:rsidR="00153D00">
        <w:rPr>
          <w:szCs w:val="20"/>
        </w:rPr>
        <w:t xml:space="preserve">or accepted </w:t>
      </w:r>
      <w:r w:rsidRPr="00C0054C">
        <w:rPr>
          <w:szCs w:val="20"/>
        </w:rPr>
        <w:t xml:space="preserve">Outage that has been determined by ERCOT to carry a substantial risk of causing significant congestion.  </w:t>
      </w:r>
    </w:p>
    <w:p w14:paraId="29D80DFF" w14:textId="77777777" w:rsidR="00793130" w:rsidRDefault="00793130" w:rsidP="00C50CC5">
      <w:pPr>
        <w:pStyle w:val="List"/>
        <w:spacing w:after="240"/>
        <w:ind w:left="1440" w:hanging="720"/>
      </w:pPr>
      <w:r w:rsidRPr="00C0054C">
        <w:rPr>
          <w:szCs w:val="20"/>
        </w:rPr>
        <w:t>(</w:t>
      </w:r>
      <w:r w:rsidR="001C7CAB">
        <w:rPr>
          <w:szCs w:val="20"/>
        </w:rPr>
        <w:t>f</w:t>
      </w:r>
      <w:r w:rsidRPr="00C0054C">
        <w:rPr>
          <w:szCs w:val="20"/>
        </w:rPr>
        <w:t>)</w:t>
      </w:r>
      <w:r w:rsidRPr="00C0054C">
        <w:rPr>
          <w:szCs w:val="20"/>
        </w:rPr>
        <w:tab/>
        <w:t xml:space="preserve">As set forth in Protocol Section 7.5.1, Nature and Timing, all Outages included in the CRR Network Model shall be posted on the Market Information System (MIS) Secure Area consistent with the model posting requirements and with accompanying cause and duration information, as indicated in the Outage Scheduler.  </w:t>
      </w:r>
    </w:p>
    <w:sectPr w:rsidR="00793130" w:rsidSect="003E6F62">
      <w:headerReference w:type="default" r:id="rId14"/>
      <w:footerReference w:type="default" r:id="rId15"/>
      <w:pgSz w:w="12240" w:h="15840" w:code="1"/>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817CC" w14:textId="77777777" w:rsidR="00E052FB" w:rsidRDefault="00E052FB">
      <w:r>
        <w:separator/>
      </w:r>
    </w:p>
  </w:endnote>
  <w:endnote w:type="continuationSeparator" w:id="0">
    <w:p w14:paraId="4574FF4E" w14:textId="77777777" w:rsidR="00E052FB" w:rsidRDefault="00E0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4786" w14:textId="77777777" w:rsidR="007C1B69" w:rsidRDefault="007C1B69" w:rsidP="00700E93">
    <w:pPr>
      <w:pStyle w:val="Footer"/>
      <w:tabs>
        <w:tab w:val="clear" w:pos="4320"/>
        <w:tab w:val="clear" w:pos="8640"/>
        <w:tab w:val="right" w:pos="9540"/>
      </w:tabs>
      <w:jc w:val="center"/>
      <w:rPr>
        <w:rStyle w:val="PageNumber"/>
        <w:b/>
        <w:smallCaps/>
        <w:sz w:val="20"/>
      </w:rPr>
    </w:pPr>
    <w:r>
      <w:rPr>
        <w:rStyle w:val="PageNumber"/>
        <w:b/>
        <w:smallCaps/>
        <w:sz w:val="2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F160" w14:textId="77777777" w:rsidR="007C1B69" w:rsidRPr="00B4661E" w:rsidRDefault="007C1B69" w:rsidP="00700E93">
    <w:pPr>
      <w:pStyle w:val="Footer"/>
      <w:rPr>
        <w:b/>
        <w:sz w:val="18"/>
        <w:szCs w:val="18"/>
      </w:rPr>
    </w:pPr>
    <w:r w:rsidRPr="00B4661E">
      <w:rPr>
        <w:bCs/>
        <w:smallCaps/>
        <w:sz w:val="18"/>
        <w:szCs w:val="18"/>
      </w:rPr>
      <w:t xml:space="preserve">Ercot Nodal Operating Guides – November 1, 2007 (Effective upon </w:t>
    </w:r>
    <w:smartTag w:uri="urn:schemas-microsoft-com:office:smarttags" w:element="State">
      <w:smartTag w:uri="urn:schemas-microsoft-com:office:smarttags" w:element="place">
        <w:r w:rsidRPr="00B4661E">
          <w:rPr>
            <w:bCs/>
            <w:smallCaps/>
            <w:sz w:val="18"/>
            <w:szCs w:val="18"/>
          </w:rPr>
          <w:t>Texas</w:t>
        </w:r>
      </w:smartTag>
    </w:smartTag>
    <w:r w:rsidRPr="00B4661E">
      <w:rPr>
        <w:bCs/>
        <w:smallCaps/>
        <w:sz w:val="18"/>
        <w:szCs w:val="18"/>
      </w:rPr>
      <w:t xml:space="preserve"> Nodal Market Implementation)</w:t>
    </w:r>
  </w:p>
  <w:p w14:paraId="2416B4F6" w14:textId="77777777" w:rsidR="007C1B69" w:rsidRPr="00B4661E" w:rsidRDefault="007C1B69" w:rsidP="00700E93">
    <w:pPr>
      <w:pStyle w:val="Footer"/>
      <w:tabs>
        <w:tab w:val="clear" w:pos="4320"/>
        <w:tab w:val="clear" w:pos="8640"/>
        <w:tab w:val="right" w:pos="9540"/>
      </w:tabs>
      <w:jc w:val="center"/>
      <w:rPr>
        <w:sz w:val="18"/>
        <w:szCs w:val="18"/>
      </w:rPr>
    </w:pPr>
    <w:r w:rsidRPr="00B4661E">
      <w:rPr>
        <w:rStyle w:val="PageNumber"/>
        <w:smallCaps/>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94E3" w14:textId="14A81E84" w:rsidR="007C1B69" w:rsidRDefault="007C1B69" w:rsidP="00265932">
    <w:pPr>
      <w:pStyle w:val="Footer"/>
      <w:rPr>
        <w:bCs/>
        <w:smallCaps/>
        <w:sz w:val="20"/>
        <w:szCs w:val="20"/>
      </w:rPr>
    </w:pPr>
    <w:r w:rsidRPr="00265932">
      <w:rPr>
        <w:bCs/>
        <w:smallCaps/>
        <w:sz w:val="20"/>
        <w:szCs w:val="20"/>
      </w:rPr>
      <w:t>ERCOT Nodal Operating Guides –</w:t>
    </w:r>
    <w:r w:rsidR="00AC217C">
      <w:rPr>
        <w:bCs/>
        <w:smallCaps/>
        <w:sz w:val="20"/>
        <w:szCs w:val="20"/>
      </w:rPr>
      <w:t xml:space="preserve"> December 5</w:t>
    </w:r>
    <w:r w:rsidR="008236B2">
      <w:rPr>
        <w:bCs/>
        <w:smallCaps/>
        <w:sz w:val="20"/>
        <w:szCs w:val="20"/>
      </w:rPr>
      <w:t>, 2025</w:t>
    </w:r>
  </w:p>
  <w:p w14:paraId="3D52B257" w14:textId="77777777" w:rsidR="007C1B69" w:rsidRPr="00265932" w:rsidRDefault="007C1B69" w:rsidP="00AB2793">
    <w:pPr>
      <w:pStyle w:val="Footer"/>
      <w:jc w:val="center"/>
      <w:rPr>
        <w:sz w:val="20"/>
        <w:szCs w:val="20"/>
      </w:rPr>
    </w:pPr>
    <w:r w:rsidRPr="00265932">
      <w:rPr>
        <w:rStyle w:val="PageNumber"/>
        <w:smallCaps/>
        <w:sz w:val="20"/>
        <w:szCs w:val="20"/>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3B58" w14:textId="77777777" w:rsidR="007C1B69" w:rsidRPr="00265932" w:rsidRDefault="007C1B69" w:rsidP="00700E93">
    <w:pPr>
      <w:pStyle w:val="Footer"/>
      <w:rPr>
        <w:b/>
        <w:sz w:val="20"/>
        <w:szCs w:val="20"/>
      </w:rPr>
    </w:pPr>
    <w:r w:rsidRPr="00265932">
      <w:rPr>
        <w:bCs/>
        <w:smallCaps/>
        <w:sz w:val="20"/>
        <w:szCs w:val="20"/>
      </w:rPr>
      <w:t xml:space="preserve">ERCOT Nodal Operating Guides – Updated November 1, </w:t>
    </w:r>
    <w:proofErr w:type="gramStart"/>
    <w:r w:rsidRPr="00265932">
      <w:rPr>
        <w:bCs/>
        <w:smallCaps/>
        <w:sz w:val="20"/>
        <w:szCs w:val="20"/>
      </w:rPr>
      <w:t>20</w:t>
    </w:r>
    <w:r>
      <w:rPr>
        <w:bCs/>
        <w:smallCaps/>
        <w:sz w:val="20"/>
        <w:szCs w:val="20"/>
      </w:rPr>
      <w:t>10</w:t>
    </w:r>
    <w:proofErr w:type="gramEnd"/>
    <w:r w:rsidRPr="00265932">
      <w:rPr>
        <w:bCs/>
        <w:smallCaps/>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5-7</w:t>
    </w:r>
    <w:r>
      <w:rPr>
        <w:rStyle w:val="PageNumber"/>
        <w:sz w:val="20"/>
        <w:szCs w:val="20"/>
      </w:rPr>
      <w:fldChar w:fldCharType="end"/>
    </w:r>
    <w:r w:rsidRPr="00265932">
      <w:rPr>
        <w:bCs/>
        <w:smallCaps/>
        <w:sz w:val="20"/>
        <w:szCs w:val="20"/>
      </w:rPr>
      <w:tab/>
    </w:r>
  </w:p>
  <w:p w14:paraId="768D6D31" w14:textId="77777777" w:rsidR="007C1B69" w:rsidRPr="00E51200" w:rsidRDefault="007C1B69" w:rsidP="00E51200">
    <w:pPr>
      <w:pStyle w:val="Footer"/>
      <w:tabs>
        <w:tab w:val="clear" w:pos="4320"/>
        <w:tab w:val="clear" w:pos="8640"/>
        <w:tab w:val="right" w:pos="9000"/>
      </w:tabs>
      <w:rPr>
        <w:sz w:val="18"/>
        <w:szCs w:val="18"/>
      </w:rPr>
    </w:pPr>
    <w:r w:rsidRPr="00265932">
      <w:rPr>
        <w:rStyle w:val="PageNumber"/>
        <w:smallCaps/>
        <w:sz w:val="20"/>
        <w:szCs w:val="20"/>
      </w:rPr>
      <w:t>PUBLIC</w:t>
    </w:r>
    <w:r w:rsidRPr="00E51200">
      <w:rPr>
        <w:rStyle w:val="PageNumber"/>
        <w:smallCaps/>
        <w:sz w:val="18"/>
        <w:szCs w:val="18"/>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3C64" w14:textId="063C9511" w:rsidR="007C1B69" w:rsidRPr="00AB2793" w:rsidRDefault="007C1B69" w:rsidP="004F2B36">
    <w:pPr>
      <w:pStyle w:val="Footer"/>
      <w:tabs>
        <w:tab w:val="clear" w:pos="8640"/>
        <w:tab w:val="right" w:pos="9360"/>
      </w:tabs>
      <w:rPr>
        <w:b/>
        <w:sz w:val="20"/>
        <w:szCs w:val="20"/>
      </w:rPr>
    </w:pPr>
    <w:r w:rsidRPr="00AB2793">
      <w:rPr>
        <w:bCs/>
        <w:smallCaps/>
        <w:sz w:val="20"/>
        <w:szCs w:val="20"/>
      </w:rPr>
      <w:t>Ercot Nodal Operating Guides –</w:t>
    </w:r>
    <w:r w:rsidR="00AC217C">
      <w:rPr>
        <w:bCs/>
        <w:smallCaps/>
        <w:sz w:val="20"/>
        <w:szCs w:val="20"/>
      </w:rPr>
      <w:t xml:space="preserve"> December 5</w:t>
    </w:r>
    <w:r w:rsidR="008236B2">
      <w:rPr>
        <w:bCs/>
        <w:smallCaps/>
        <w:sz w:val="20"/>
        <w:szCs w:val="20"/>
      </w:rPr>
      <w:t xml:space="preserve">, </w:t>
    </w:r>
    <w:proofErr w:type="gramStart"/>
    <w:r w:rsidR="008236B2">
      <w:rPr>
        <w:bCs/>
        <w:smallCaps/>
        <w:sz w:val="20"/>
        <w:szCs w:val="20"/>
      </w:rPr>
      <w:t>2025</w:t>
    </w:r>
    <w:proofErr w:type="gramEnd"/>
    <w:r w:rsidRPr="00AB2793">
      <w:rPr>
        <w:bCs/>
        <w:smallCaps/>
        <w:sz w:val="20"/>
        <w:szCs w:val="20"/>
      </w:rPr>
      <w:tab/>
    </w:r>
    <w:r w:rsidRPr="00AB2793">
      <w:rPr>
        <w:rStyle w:val="PageNumber"/>
        <w:sz w:val="20"/>
        <w:szCs w:val="20"/>
      </w:rPr>
      <w:fldChar w:fldCharType="begin"/>
    </w:r>
    <w:r w:rsidRPr="00AB2793">
      <w:rPr>
        <w:rStyle w:val="PageNumber"/>
        <w:sz w:val="20"/>
        <w:szCs w:val="20"/>
      </w:rPr>
      <w:instrText xml:space="preserve"> PAGE </w:instrText>
    </w:r>
    <w:r w:rsidRPr="00AB2793">
      <w:rPr>
        <w:rStyle w:val="PageNumber"/>
        <w:sz w:val="20"/>
        <w:szCs w:val="20"/>
      </w:rPr>
      <w:fldChar w:fldCharType="separate"/>
    </w:r>
    <w:r w:rsidR="009768F6">
      <w:rPr>
        <w:rStyle w:val="PageNumber"/>
        <w:noProof/>
        <w:sz w:val="20"/>
        <w:szCs w:val="20"/>
      </w:rPr>
      <w:t>5-3</w:t>
    </w:r>
    <w:r w:rsidRPr="00AB2793">
      <w:rPr>
        <w:rStyle w:val="PageNumber"/>
        <w:sz w:val="20"/>
        <w:szCs w:val="20"/>
      </w:rPr>
      <w:fldChar w:fldCharType="end"/>
    </w:r>
  </w:p>
  <w:p w14:paraId="5C209E6B" w14:textId="77777777" w:rsidR="007C1B69" w:rsidRPr="00AB2793" w:rsidRDefault="007C1B69" w:rsidP="00AB2793">
    <w:pPr>
      <w:pStyle w:val="Footer"/>
      <w:tabs>
        <w:tab w:val="clear" w:pos="4320"/>
        <w:tab w:val="clear" w:pos="8640"/>
        <w:tab w:val="right" w:pos="9000"/>
      </w:tabs>
      <w:jc w:val="center"/>
      <w:rPr>
        <w:sz w:val="20"/>
        <w:szCs w:val="20"/>
      </w:rPr>
    </w:pPr>
    <w:r w:rsidRPr="00AB2793">
      <w:rPr>
        <w:rStyle w:val="PageNumber"/>
        <w:smallCaps/>
        <w:sz w:val="20"/>
        <w:szCs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DC285" w14:textId="77777777" w:rsidR="00E052FB" w:rsidRDefault="00E052FB">
      <w:r>
        <w:separator/>
      </w:r>
    </w:p>
  </w:footnote>
  <w:footnote w:type="continuationSeparator" w:id="0">
    <w:p w14:paraId="621F32D7" w14:textId="77777777" w:rsidR="00E052FB" w:rsidRDefault="00E05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61627" w14:textId="77777777" w:rsidR="007C1B69" w:rsidRDefault="007C1B69" w:rsidP="00700E93">
    <w:pPr>
      <w:pStyle w:val="Header"/>
      <w:pBdr>
        <w:bottom w:val="single" w:sz="4" w:space="1" w:color="auto"/>
      </w:pBdr>
      <w:jc w:val="right"/>
    </w:pPr>
    <w:r>
      <w:rPr>
        <w:smallCaps/>
        <w:sz w:val="20"/>
      </w:rPr>
      <w:t>Table of Contents: Section 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74D8" w14:textId="77777777" w:rsidR="007C1B69" w:rsidRPr="00700E93" w:rsidRDefault="007C1B69" w:rsidP="00700E93">
    <w:pPr>
      <w:pStyle w:val="Header"/>
      <w:pBdr>
        <w:bottom w:val="single" w:sz="4" w:space="1" w:color="auto"/>
      </w:pBdr>
      <w:jc w:val="right"/>
      <w:rPr>
        <w:smallCaps/>
        <w:sz w:val="20"/>
      </w:rPr>
    </w:pPr>
    <w:r>
      <w:rPr>
        <w:smallCaps/>
        <w:sz w:val="20"/>
      </w:rPr>
      <w:t>Table of Content</w:t>
    </w:r>
    <w:r w:rsidR="00D83675">
      <w:rPr>
        <w:smallCaps/>
        <w:sz w:val="20"/>
      </w:rPr>
      <w:t>s</w:t>
    </w:r>
    <w:r>
      <w:rPr>
        <w:smallCaps/>
        <w:sz w:val="20"/>
      </w:rPr>
      <w:t>:  Section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816B8" w14:textId="77777777" w:rsidR="007C1B69" w:rsidRPr="00700E93" w:rsidRDefault="007C1B69" w:rsidP="00700E93">
    <w:pPr>
      <w:pStyle w:val="Header"/>
      <w:pBdr>
        <w:bottom w:val="single" w:sz="4" w:space="1" w:color="auto"/>
      </w:pBdr>
      <w:jc w:val="right"/>
      <w:rPr>
        <w:smallCaps/>
        <w:sz w:val="20"/>
      </w:rPr>
    </w:pPr>
    <w:r>
      <w:rPr>
        <w:smallCaps/>
        <w:sz w:val="20"/>
      </w:rPr>
      <w:t xml:space="preserve">Section 5:  Planning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1D6C" w14:textId="77777777" w:rsidR="007C1B69" w:rsidRPr="00700E93" w:rsidRDefault="007C1B69" w:rsidP="00700E93">
    <w:pPr>
      <w:pStyle w:val="Header"/>
      <w:pBdr>
        <w:bottom w:val="single" w:sz="4" w:space="1" w:color="auto"/>
      </w:pBdr>
      <w:jc w:val="right"/>
      <w:rPr>
        <w:smallCaps/>
        <w:sz w:val="20"/>
      </w:rPr>
    </w:pPr>
    <w:r>
      <w:rPr>
        <w:smallCaps/>
        <w:sz w:val="20"/>
      </w:rPr>
      <w:t xml:space="preserve">Section 5:  Network Operations Modeling Requirements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621DAA"/>
    <w:lvl w:ilvl="0">
      <w:numFmt w:val="decimal"/>
      <w:pStyle w:val="Bullet10"/>
      <w:lvlText w:val="*"/>
      <w:lvlJc w:val="left"/>
    </w:lvl>
  </w:abstractNum>
  <w:abstractNum w:abstractNumId="1" w15:restartNumberingAfterBreak="0">
    <w:nsid w:val="111513B2"/>
    <w:multiLevelType w:val="hybridMultilevel"/>
    <w:tmpl w:val="8846560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563545"/>
    <w:multiLevelType w:val="hybridMultilevel"/>
    <w:tmpl w:val="A6A6D424"/>
    <w:lvl w:ilvl="0" w:tplc="FFFFFFFF">
      <w:start w:val="1"/>
      <w:numFmt w:val="decimal"/>
      <w:lvlText w:val="%1."/>
      <w:lvlJc w:val="left"/>
      <w:pPr>
        <w:tabs>
          <w:tab w:val="num" w:pos="2520"/>
        </w:tabs>
        <w:ind w:left="2520" w:hanging="360"/>
      </w:p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 w15:restartNumberingAfterBreak="0">
    <w:nsid w:val="20D261DA"/>
    <w:multiLevelType w:val="hybridMultilevel"/>
    <w:tmpl w:val="6E1C9FEA"/>
    <w:lvl w:ilvl="0" w:tplc="FFFFFFFF">
      <w:start w:val="1"/>
      <w:numFmt w:val="decimal"/>
      <w:pStyle w:val="Table123"/>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3F87D58"/>
    <w:multiLevelType w:val="hybridMultilevel"/>
    <w:tmpl w:val="F39062F8"/>
    <w:lvl w:ilvl="0" w:tplc="FFFFFFFF">
      <w:start w:val="1"/>
      <w:numFmt w:val="bullet"/>
      <w:pStyle w:val="Bullet15"/>
      <w:lvlText w:val=""/>
      <w:lvlJc w:val="left"/>
      <w:pPr>
        <w:tabs>
          <w:tab w:val="num" w:pos="1800"/>
        </w:tabs>
        <w:ind w:left="1800" w:hanging="720"/>
      </w:pPr>
      <w:rPr>
        <w:rFonts w:ascii="Symbol" w:hAnsi="Symbol"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3A5A555C"/>
    <w:multiLevelType w:val="multilevel"/>
    <w:tmpl w:val="3C201DA6"/>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CD50151"/>
    <w:multiLevelType w:val="hybridMultilevel"/>
    <w:tmpl w:val="50D67734"/>
    <w:lvl w:ilvl="0" w:tplc="B882D5EA">
      <w:start w:val="1"/>
      <w:numFmt w:val="bullet"/>
      <w:lvlText w:val=""/>
      <w:lvlJc w:val="left"/>
      <w:pPr>
        <w:tabs>
          <w:tab w:val="num" w:pos="1224"/>
        </w:tabs>
        <w:ind w:left="1224" w:hanging="324"/>
      </w:pPr>
      <w:rPr>
        <w:rFonts w:ascii="Symbol" w:hAnsi="Symbol" w:hint="default"/>
      </w:rPr>
    </w:lvl>
    <w:lvl w:ilvl="1" w:tplc="0766468A" w:tentative="1">
      <w:start w:val="1"/>
      <w:numFmt w:val="bullet"/>
      <w:lvlText w:val="o"/>
      <w:lvlJc w:val="left"/>
      <w:pPr>
        <w:tabs>
          <w:tab w:val="num" w:pos="1440"/>
        </w:tabs>
        <w:ind w:left="1440" w:hanging="360"/>
      </w:pPr>
      <w:rPr>
        <w:rFonts w:ascii="Courier New" w:hAnsi="Courier New" w:cs="Courier New" w:hint="default"/>
      </w:rPr>
    </w:lvl>
    <w:lvl w:ilvl="2" w:tplc="AB92A06A" w:tentative="1">
      <w:start w:val="1"/>
      <w:numFmt w:val="bullet"/>
      <w:lvlText w:val=""/>
      <w:lvlJc w:val="left"/>
      <w:pPr>
        <w:tabs>
          <w:tab w:val="num" w:pos="2160"/>
        </w:tabs>
        <w:ind w:left="2160" w:hanging="360"/>
      </w:pPr>
      <w:rPr>
        <w:rFonts w:ascii="Wingdings" w:hAnsi="Wingdings" w:hint="default"/>
      </w:rPr>
    </w:lvl>
    <w:lvl w:ilvl="3" w:tplc="8C48170C" w:tentative="1">
      <w:start w:val="1"/>
      <w:numFmt w:val="bullet"/>
      <w:lvlText w:val=""/>
      <w:lvlJc w:val="left"/>
      <w:pPr>
        <w:tabs>
          <w:tab w:val="num" w:pos="2880"/>
        </w:tabs>
        <w:ind w:left="2880" w:hanging="360"/>
      </w:pPr>
      <w:rPr>
        <w:rFonts w:ascii="Symbol" w:hAnsi="Symbol" w:hint="default"/>
      </w:rPr>
    </w:lvl>
    <w:lvl w:ilvl="4" w:tplc="7110D3A6" w:tentative="1">
      <w:start w:val="1"/>
      <w:numFmt w:val="bullet"/>
      <w:lvlText w:val="o"/>
      <w:lvlJc w:val="left"/>
      <w:pPr>
        <w:tabs>
          <w:tab w:val="num" w:pos="3600"/>
        </w:tabs>
        <w:ind w:left="3600" w:hanging="360"/>
      </w:pPr>
      <w:rPr>
        <w:rFonts w:ascii="Courier New" w:hAnsi="Courier New" w:cs="Courier New" w:hint="default"/>
      </w:rPr>
    </w:lvl>
    <w:lvl w:ilvl="5" w:tplc="1DA0DFE2" w:tentative="1">
      <w:start w:val="1"/>
      <w:numFmt w:val="bullet"/>
      <w:lvlText w:val=""/>
      <w:lvlJc w:val="left"/>
      <w:pPr>
        <w:tabs>
          <w:tab w:val="num" w:pos="4320"/>
        </w:tabs>
        <w:ind w:left="4320" w:hanging="360"/>
      </w:pPr>
      <w:rPr>
        <w:rFonts w:ascii="Wingdings" w:hAnsi="Wingdings" w:hint="default"/>
      </w:rPr>
    </w:lvl>
    <w:lvl w:ilvl="6" w:tplc="77DA796A" w:tentative="1">
      <w:start w:val="1"/>
      <w:numFmt w:val="bullet"/>
      <w:lvlText w:val=""/>
      <w:lvlJc w:val="left"/>
      <w:pPr>
        <w:tabs>
          <w:tab w:val="num" w:pos="5040"/>
        </w:tabs>
        <w:ind w:left="5040" w:hanging="360"/>
      </w:pPr>
      <w:rPr>
        <w:rFonts w:ascii="Symbol" w:hAnsi="Symbol" w:hint="default"/>
      </w:rPr>
    </w:lvl>
    <w:lvl w:ilvl="7" w:tplc="4F40A68E" w:tentative="1">
      <w:start w:val="1"/>
      <w:numFmt w:val="bullet"/>
      <w:lvlText w:val="o"/>
      <w:lvlJc w:val="left"/>
      <w:pPr>
        <w:tabs>
          <w:tab w:val="num" w:pos="5760"/>
        </w:tabs>
        <w:ind w:left="5760" w:hanging="360"/>
      </w:pPr>
      <w:rPr>
        <w:rFonts w:ascii="Courier New" w:hAnsi="Courier New" w:cs="Courier New" w:hint="default"/>
      </w:rPr>
    </w:lvl>
    <w:lvl w:ilvl="8" w:tplc="1D721A1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8" w15:restartNumberingAfterBreak="0">
    <w:nsid w:val="40E42150"/>
    <w:multiLevelType w:val="hybridMultilevel"/>
    <w:tmpl w:val="87844A32"/>
    <w:lvl w:ilvl="0" w:tplc="26F4E74E">
      <w:start w:val="1"/>
      <w:numFmt w:val="bullet"/>
      <w:pStyle w:val="TableBullet"/>
      <w:lvlText w:val=""/>
      <w:lvlJc w:val="left"/>
      <w:pPr>
        <w:tabs>
          <w:tab w:val="num" w:pos="720"/>
        </w:tabs>
        <w:ind w:left="720" w:hanging="360"/>
      </w:pPr>
      <w:rPr>
        <w:rFonts w:ascii="Wingdings" w:hAnsi="Wingdings" w:hint="default"/>
      </w:rPr>
    </w:lvl>
    <w:lvl w:ilvl="1" w:tplc="2CA89814" w:tentative="1">
      <w:start w:val="1"/>
      <w:numFmt w:val="bullet"/>
      <w:lvlText w:val="o"/>
      <w:lvlJc w:val="left"/>
      <w:pPr>
        <w:tabs>
          <w:tab w:val="num" w:pos="1440"/>
        </w:tabs>
        <w:ind w:left="1440" w:hanging="360"/>
      </w:pPr>
      <w:rPr>
        <w:rFonts w:ascii="Courier New" w:hAnsi="Courier New" w:hint="default"/>
      </w:rPr>
    </w:lvl>
    <w:lvl w:ilvl="2" w:tplc="A5D46402" w:tentative="1">
      <w:start w:val="1"/>
      <w:numFmt w:val="bullet"/>
      <w:lvlText w:val=""/>
      <w:lvlJc w:val="left"/>
      <w:pPr>
        <w:tabs>
          <w:tab w:val="num" w:pos="2160"/>
        </w:tabs>
        <w:ind w:left="2160" w:hanging="360"/>
      </w:pPr>
      <w:rPr>
        <w:rFonts w:ascii="Wingdings" w:hAnsi="Wingdings" w:hint="default"/>
      </w:rPr>
    </w:lvl>
    <w:lvl w:ilvl="3" w:tplc="121AEAFE" w:tentative="1">
      <w:start w:val="1"/>
      <w:numFmt w:val="bullet"/>
      <w:lvlText w:val=""/>
      <w:lvlJc w:val="left"/>
      <w:pPr>
        <w:tabs>
          <w:tab w:val="num" w:pos="2880"/>
        </w:tabs>
        <w:ind w:left="2880" w:hanging="360"/>
      </w:pPr>
      <w:rPr>
        <w:rFonts w:ascii="Symbol" w:hAnsi="Symbol" w:hint="default"/>
      </w:rPr>
    </w:lvl>
    <w:lvl w:ilvl="4" w:tplc="AC0857FA" w:tentative="1">
      <w:start w:val="1"/>
      <w:numFmt w:val="bullet"/>
      <w:lvlText w:val="o"/>
      <w:lvlJc w:val="left"/>
      <w:pPr>
        <w:tabs>
          <w:tab w:val="num" w:pos="3600"/>
        </w:tabs>
        <w:ind w:left="3600" w:hanging="360"/>
      </w:pPr>
      <w:rPr>
        <w:rFonts w:ascii="Courier New" w:hAnsi="Courier New" w:hint="default"/>
      </w:rPr>
    </w:lvl>
    <w:lvl w:ilvl="5" w:tplc="6338F176" w:tentative="1">
      <w:start w:val="1"/>
      <w:numFmt w:val="bullet"/>
      <w:lvlText w:val=""/>
      <w:lvlJc w:val="left"/>
      <w:pPr>
        <w:tabs>
          <w:tab w:val="num" w:pos="4320"/>
        </w:tabs>
        <w:ind w:left="4320" w:hanging="360"/>
      </w:pPr>
      <w:rPr>
        <w:rFonts w:ascii="Wingdings" w:hAnsi="Wingdings" w:hint="default"/>
      </w:rPr>
    </w:lvl>
    <w:lvl w:ilvl="6" w:tplc="E138C122" w:tentative="1">
      <w:start w:val="1"/>
      <w:numFmt w:val="bullet"/>
      <w:lvlText w:val=""/>
      <w:lvlJc w:val="left"/>
      <w:pPr>
        <w:tabs>
          <w:tab w:val="num" w:pos="5040"/>
        </w:tabs>
        <w:ind w:left="5040" w:hanging="360"/>
      </w:pPr>
      <w:rPr>
        <w:rFonts w:ascii="Symbol" w:hAnsi="Symbol" w:hint="default"/>
      </w:rPr>
    </w:lvl>
    <w:lvl w:ilvl="7" w:tplc="D9B0D408" w:tentative="1">
      <w:start w:val="1"/>
      <w:numFmt w:val="bullet"/>
      <w:lvlText w:val="o"/>
      <w:lvlJc w:val="left"/>
      <w:pPr>
        <w:tabs>
          <w:tab w:val="num" w:pos="5760"/>
        </w:tabs>
        <w:ind w:left="5760" w:hanging="360"/>
      </w:pPr>
      <w:rPr>
        <w:rFonts w:ascii="Courier New" w:hAnsi="Courier New" w:hint="default"/>
      </w:rPr>
    </w:lvl>
    <w:lvl w:ilvl="8" w:tplc="DCC86D1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A2372A"/>
    <w:multiLevelType w:val="hybridMultilevel"/>
    <w:tmpl w:val="17DC9730"/>
    <w:lvl w:ilvl="0" w:tplc="B262EB86">
      <w:start w:val="1"/>
      <w:numFmt w:val="bullet"/>
      <w:pStyle w:val="TableBulletBullet"/>
      <w:lvlText w:val="o"/>
      <w:lvlJc w:val="left"/>
      <w:pPr>
        <w:tabs>
          <w:tab w:val="num" w:pos="1080"/>
        </w:tabs>
        <w:ind w:left="1080" w:hanging="360"/>
      </w:pPr>
      <w:rPr>
        <w:rFonts w:hAnsi="Courier New" w:hint="default"/>
      </w:rPr>
    </w:lvl>
    <w:lvl w:ilvl="1" w:tplc="AEA20458" w:tentative="1">
      <w:start w:val="1"/>
      <w:numFmt w:val="bullet"/>
      <w:lvlText w:val="o"/>
      <w:lvlJc w:val="left"/>
      <w:pPr>
        <w:tabs>
          <w:tab w:val="num" w:pos="1440"/>
        </w:tabs>
        <w:ind w:left="1440" w:hanging="360"/>
      </w:pPr>
      <w:rPr>
        <w:rFonts w:ascii="Courier New" w:hAnsi="Courier New" w:hint="default"/>
      </w:rPr>
    </w:lvl>
    <w:lvl w:ilvl="2" w:tplc="23549A4C" w:tentative="1">
      <w:start w:val="1"/>
      <w:numFmt w:val="bullet"/>
      <w:lvlText w:val=""/>
      <w:lvlJc w:val="left"/>
      <w:pPr>
        <w:tabs>
          <w:tab w:val="num" w:pos="2160"/>
        </w:tabs>
        <w:ind w:left="2160" w:hanging="360"/>
      </w:pPr>
      <w:rPr>
        <w:rFonts w:ascii="Wingdings" w:hAnsi="Wingdings" w:hint="default"/>
      </w:rPr>
    </w:lvl>
    <w:lvl w:ilvl="3" w:tplc="CA9423C6" w:tentative="1">
      <w:start w:val="1"/>
      <w:numFmt w:val="bullet"/>
      <w:lvlText w:val=""/>
      <w:lvlJc w:val="left"/>
      <w:pPr>
        <w:tabs>
          <w:tab w:val="num" w:pos="2880"/>
        </w:tabs>
        <w:ind w:left="2880" w:hanging="360"/>
      </w:pPr>
      <w:rPr>
        <w:rFonts w:ascii="Symbol" w:hAnsi="Symbol" w:hint="default"/>
      </w:rPr>
    </w:lvl>
    <w:lvl w:ilvl="4" w:tplc="A5C4E53E" w:tentative="1">
      <w:start w:val="1"/>
      <w:numFmt w:val="bullet"/>
      <w:lvlText w:val="o"/>
      <w:lvlJc w:val="left"/>
      <w:pPr>
        <w:tabs>
          <w:tab w:val="num" w:pos="3600"/>
        </w:tabs>
        <w:ind w:left="3600" w:hanging="360"/>
      </w:pPr>
      <w:rPr>
        <w:rFonts w:ascii="Courier New" w:hAnsi="Courier New" w:hint="default"/>
      </w:rPr>
    </w:lvl>
    <w:lvl w:ilvl="5" w:tplc="2CBC920C" w:tentative="1">
      <w:start w:val="1"/>
      <w:numFmt w:val="bullet"/>
      <w:lvlText w:val=""/>
      <w:lvlJc w:val="left"/>
      <w:pPr>
        <w:tabs>
          <w:tab w:val="num" w:pos="4320"/>
        </w:tabs>
        <w:ind w:left="4320" w:hanging="360"/>
      </w:pPr>
      <w:rPr>
        <w:rFonts w:ascii="Wingdings" w:hAnsi="Wingdings" w:hint="default"/>
      </w:rPr>
    </w:lvl>
    <w:lvl w:ilvl="6" w:tplc="7D000100" w:tentative="1">
      <w:start w:val="1"/>
      <w:numFmt w:val="bullet"/>
      <w:lvlText w:val=""/>
      <w:lvlJc w:val="left"/>
      <w:pPr>
        <w:tabs>
          <w:tab w:val="num" w:pos="5040"/>
        </w:tabs>
        <w:ind w:left="5040" w:hanging="360"/>
      </w:pPr>
      <w:rPr>
        <w:rFonts w:ascii="Symbol" w:hAnsi="Symbol" w:hint="default"/>
      </w:rPr>
    </w:lvl>
    <w:lvl w:ilvl="7" w:tplc="D23CDD6C" w:tentative="1">
      <w:start w:val="1"/>
      <w:numFmt w:val="bullet"/>
      <w:lvlText w:val="o"/>
      <w:lvlJc w:val="left"/>
      <w:pPr>
        <w:tabs>
          <w:tab w:val="num" w:pos="5760"/>
        </w:tabs>
        <w:ind w:left="5760" w:hanging="360"/>
      </w:pPr>
      <w:rPr>
        <w:rFonts w:ascii="Courier New" w:hAnsi="Courier New" w:hint="default"/>
      </w:rPr>
    </w:lvl>
    <w:lvl w:ilvl="8" w:tplc="3A042FD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AB0A4B"/>
    <w:multiLevelType w:val="hybridMultilevel"/>
    <w:tmpl w:val="3A449960"/>
    <w:lvl w:ilvl="0" w:tplc="4DFAFF28">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FA14D2"/>
    <w:multiLevelType w:val="hybridMultilevel"/>
    <w:tmpl w:val="46FA3878"/>
    <w:lvl w:ilvl="0" w:tplc="FFFFFFFF">
      <w:start w:val="1"/>
      <w:numFmt w:val="decimal"/>
      <w:lvlText w:val="(%1)"/>
      <w:lvlJc w:val="left"/>
      <w:pPr>
        <w:tabs>
          <w:tab w:val="num" w:pos="1080"/>
        </w:tabs>
        <w:ind w:left="1080" w:hanging="72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541C38"/>
    <w:multiLevelType w:val="multilevel"/>
    <w:tmpl w:val="06986050"/>
    <w:lvl w:ilvl="0">
      <w:start w:val="1"/>
      <w:numFmt w:val="decimal"/>
      <w:pStyle w:val="1"/>
      <w:lvlText w:val="%1."/>
      <w:lvlJc w:val="left"/>
      <w:pPr>
        <w:tabs>
          <w:tab w:val="num" w:pos="1800"/>
        </w:tabs>
        <w:ind w:left="1800" w:hanging="720"/>
      </w:pPr>
      <w:rPr>
        <w:rFonts w:ascii="Times New Roman" w:hAnsi="Times New Roman" w:hint="default"/>
        <w:b w:val="0"/>
        <w:i w:val="0"/>
        <w:sz w:val="24"/>
      </w:rPr>
    </w:lvl>
    <w:lvl w:ilvl="1">
      <w:start w:val="1"/>
      <w:numFmt w:val="decimal"/>
      <w:lvlText w:val="%1.%2"/>
      <w:lvlJc w:val="left"/>
      <w:pPr>
        <w:tabs>
          <w:tab w:val="num" w:pos="2160"/>
        </w:tabs>
        <w:ind w:left="2160" w:hanging="1080"/>
      </w:pPr>
      <w:rPr>
        <w:rFonts w:ascii="Times New Roman" w:hAnsi="Times New Roman" w:hint="default"/>
        <w:b/>
        <w:i w:val="0"/>
        <w:sz w:val="30"/>
      </w:rPr>
    </w:lvl>
    <w:lvl w:ilvl="2">
      <w:start w:val="1"/>
      <w:numFmt w:val="decimal"/>
      <w:lvlText w:val="%1.%2.%3"/>
      <w:lvlJc w:val="left"/>
      <w:pPr>
        <w:tabs>
          <w:tab w:val="num" w:pos="2160"/>
        </w:tabs>
        <w:ind w:left="2160" w:hanging="1080"/>
      </w:pPr>
      <w:rPr>
        <w:rFonts w:ascii="Times New Roman" w:hAnsi="Times New Roman" w:hint="default"/>
        <w:b/>
        <w:i w:val="0"/>
        <w:sz w:val="26"/>
      </w:rPr>
    </w:lvl>
    <w:lvl w:ilvl="3">
      <w:start w:val="1"/>
      <w:numFmt w:val="decimal"/>
      <w:lvlText w:val="%1.%2.%3.%4"/>
      <w:lvlJc w:val="left"/>
      <w:pPr>
        <w:tabs>
          <w:tab w:val="num" w:pos="2160"/>
        </w:tabs>
        <w:ind w:left="2160" w:hanging="1080"/>
      </w:pPr>
      <w:rPr>
        <w:rFonts w:ascii="Times New Roman" w:hAnsi="Times New Roman" w:hint="default"/>
        <w:b/>
        <w:i w:val="0"/>
        <w:sz w:val="22"/>
      </w:rPr>
    </w:lvl>
    <w:lvl w:ilvl="4">
      <w:start w:val="1"/>
      <w:numFmt w:val="decimal"/>
      <w:lvlText w:val="%1.%2.%3.%4.%5"/>
      <w:lvlJc w:val="left"/>
      <w:pPr>
        <w:tabs>
          <w:tab w:val="num" w:pos="2520"/>
        </w:tabs>
        <w:ind w:left="2160" w:hanging="1080"/>
      </w:pPr>
      <w:rPr>
        <w:rFonts w:hint="default"/>
        <w:b/>
        <w:i w:val="0"/>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13" w15:restartNumberingAfterBreak="0">
    <w:nsid w:val="6A0F7E95"/>
    <w:multiLevelType w:val="multilevel"/>
    <w:tmpl w:val="4634CB84"/>
    <w:lvl w:ilvl="0">
      <w:start w:val="5"/>
      <w:numFmt w:val="decimal"/>
      <w:pStyle w:val="Heading1"/>
      <w:lvlText w:val="%1"/>
      <w:lvlJc w:val="left"/>
      <w:pPr>
        <w:tabs>
          <w:tab w:val="num" w:pos="1224"/>
        </w:tabs>
        <w:ind w:left="1224" w:hanging="324"/>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0726F0"/>
    <w:multiLevelType w:val="multilevel"/>
    <w:tmpl w:val="DEE697C4"/>
    <w:lvl w:ilvl="0">
      <w:start w:val="1"/>
      <w:numFmt w:val="lowerLetter"/>
      <w:pStyle w:val="BlockText"/>
      <w:lvlText w:val="%1."/>
      <w:lvlJc w:val="left"/>
      <w:pPr>
        <w:tabs>
          <w:tab w:val="num" w:pos="2520"/>
        </w:tabs>
        <w:ind w:left="2520" w:hanging="720"/>
      </w:pPr>
      <w:rPr>
        <w:rFonts w:ascii="Times New Roman" w:hAnsi="Times New Roman" w:hint="default"/>
        <w:b w:val="0"/>
        <w:i w:val="0"/>
        <w:sz w:val="24"/>
      </w:rPr>
    </w:lvl>
    <w:lvl w:ilvl="1">
      <w:start w:val="1"/>
      <w:numFmt w:val="none"/>
      <w:lvlText w:val="1.1"/>
      <w:lvlJc w:val="left"/>
      <w:pPr>
        <w:tabs>
          <w:tab w:val="num" w:pos="2880"/>
        </w:tabs>
        <w:ind w:left="2880" w:hanging="1080"/>
      </w:pPr>
      <w:rPr>
        <w:rFonts w:ascii="Times New Roman" w:hAnsi="Times New Roman" w:hint="default"/>
        <w:b/>
        <w:i w:val="0"/>
        <w:sz w:val="30"/>
      </w:rPr>
    </w:lvl>
    <w:lvl w:ilvl="2">
      <w:start w:val="1"/>
      <w:numFmt w:val="decimal"/>
      <w:lvlText w:val="%1.%2.%3"/>
      <w:lvlJc w:val="left"/>
      <w:pPr>
        <w:tabs>
          <w:tab w:val="num" w:pos="2880"/>
        </w:tabs>
        <w:ind w:left="2880" w:hanging="1080"/>
      </w:pPr>
      <w:rPr>
        <w:rFonts w:ascii="Times New Roman" w:hAnsi="Times New Roman" w:hint="default"/>
        <w:b/>
        <w:i w:val="0"/>
        <w:sz w:val="26"/>
      </w:rPr>
    </w:lvl>
    <w:lvl w:ilvl="3">
      <w:start w:val="1"/>
      <w:numFmt w:val="decimal"/>
      <w:lvlText w:val="%1.%2.%3.%4"/>
      <w:lvlJc w:val="left"/>
      <w:pPr>
        <w:tabs>
          <w:tab w:val="num" w:pos="2880"/>
        </w:tabs>
        <w:ind w:left="2880" w:hanging="1080"/>
      </w:pPr>
      <w:rPr>
        <w:rFonts w:ascii="Times New Roman" w:hAnsi="Times New Roman" w:hint="default"/>
        <w:b/>
        <w:i w:val="0"/>
        <w:sz w:val="22"/>
      </w:rPr>
    </w:lvl>
    <w:lvl w:ilvl="4">
      <w:start w:val="1"/>
      <w:numFmt w:val="decimal"/>
      <w:lvlText w:val="%1.%2.%3.%4.%5"/>
      <w:lvlJc w:val="left"/>
      <w:pPr>
        <w:tabs>
          <w:tab w:val="num" w:pos="3240"/>
        </w:tabs>
        <w:ind w:left="2880" w:hanging="1080"/>
      </w:pPr>
      <w:rPr>
        <w:rFonts w:hint="default"/>
        <w:b/>
        <w:i w:val="0"/>
      </w:rPr>
    </w:lvl>
    <w:lvl w:ilvl="5">
      <w:start w:val="1"/>
      <w:numFmt w:val="decimal"/>
      <w:lvlText w:val="%1.%2.%3.%4.%5.%6."/>
      <w:lvlJc w:val="left"/>
      <w:pPr>
        <w:tabs>
          <w:tab w:val="num" w:pos="4680"/>
        </w:tabs>
        <w:ind w:left="4536" w:hanging="936"/>
      </w:pPr>
      <w:rPr>
        <w:rFonts w:hint="default"/>
      </w:rPr>
    </w:lvl>
    <w:lvl w:ilvl="6">
      <w:start w:val="1"/>
      <w:numFmt w:val="decimal"/>
      <w:lvlText w:val="%1.%2.%3.%4.%5.%6.%7."/>
      <w:lvlJc w:val="left"/>
      <w:pPr>
        <w:tabs>
          <w:tab w:val="num" w:pos="5400"/>
        </w:tabs>
        <w:ind w:left="5040" w:hanging="1080"/>
      </w:pPr>
      <w:rPr>
        <w:rFonts w:hint="default"/>
      </w:rPr>
    </w:lvl>
    <w:lvl w:ilvl="7">
      <w:start w:val="1"/>
      <w:numFmt w:val="decimal"/>
      <w:lvlText w:val="%1.%2.%3.%4.%5.%6.%7.%8."/>
      <w:lvlJc w:val="left"/>
      <w:pPr>
        <w:tabs>
          <w:tab w:val="num" w:pos="5760"/>
        </w:tabs>
        <w:ind w:left="5544" w:hanging="1224"/>
      </w:pPr>
      <w:rPr>
        <w:rFonts w:hint="default"/>
      </w:rPr>
    </w:lvl>
    <w:lvl w:ilvl="8">
      <w:start w:val="1"/>
      <w:numFmt w:val="decimal"/>
      <w:lvlText w:val="%1.%2.%3.%4.%5.%6.%7.%8.%9."/>
      <w:lvlJc w:val="left"/>
      <w:pPr>
        <w:tabs>
          <w:tab w:val="num" w:pos="6480"/>
        </w:tabs>
        <w:ind w:left="6120" w:hanging="1440"/>
      </w:pPr>
      <w:rPr>
        <w:rFonts w:hint="default"/>
      </w:rPr>
    </w:lvl>
  </w:abstractNum>
  <w:abstractNum w:abstractNumId="15" w15:restartNumberingAfterBreak="0">
    <w:nsid w:val="74C20671"/>
    <w:multiLevelType w:val="hybridMultilevel"/>
    <w:tmpl w:val="A0321390"/>
    <w:lvl w:ilvl="0" w:tplc="C14ACDD6">
      <w:start w:val="1"/>
      <w:numFmt w:val="lowerLetter"/>
      <w:pStyle w:val="Tableabc"/>
      <w:lvlText w:val="%1."/>
      <w:lvlJc w:val="left"/>
      <w:pPr>
        <w:tabs>
          <w:tab w:val="num" w:pos="360"/>
        </w:tabs>
        <w:ind w:left="360" w:hanging="360"/>
      </w:pPr>
    </w:lvl>
    <w:lvl w:ilvl="1" w:tplc="09AECA02" w:tentative="1">
      <w:start w:val="1"/>
      <w:numFmt w:val="lowerLetter"/>
      <w:lvlText w:val="%2."/>
      <w:lvlJc w:val="left"/>
      <w:pPr>
        <w:tabs>
          <w:tab w:val="num" w:pos="1440"/>
        </w:tabs>
        <w:ind w:left="1440" w:hanging="360"/>
      </w:pPr>
    </w:lvl>
    <w:lvl w:ilvl="2" w:tplc="402AF932" w:tentative="1">
      <w:start w:val="1"/>
      <w:numFmt w:val="lowerRoman"/>
      <w:lvlText w:val="%3."/>
      <w:lvlJc w:val="right"/>
      <w:pPr>
        <w:tabs>
          <w:tab w:val="num" w:pos="2160"/>
        </w:tabs>
        <w:ind w:left="2160" w:hanging="180"/>
      </w:pPr>
    </w:lvl>
    <w:lvl w:ilvl="3" w:tplc="B8C2692E" w:tentative="1">
      <w:start w:val="1"/>
      <w:numFmt w:val="decimal"/>
      <w:lvlText w:val="%4."/>
      <w:lvlJc w:val="left"/>
      <w:pPr>
        <w:tabs>
          <w:tab w:val="num" w:pos="2880"/>
        </w:tabs>
        <w:ind w:left="2880" w:hanging="360"/>
      </w:pPr>
    </w:lvl>
    <w:lvl w:ilvl="4" w:tplc="6610FC98" w:tentative="1">
      <w:start w:val="1"/>
      <w:numFmt w:val="lowerLetter"/>
      <w:lvlText w:val="%5."/>
      <w:lvlJc w:val="left"/>
      <w:pPr>
        <w:tabs>
          <w:tab w:val="num" w:pos="3600"/>
        </w:tabs>
        <w:ind w:left="3600" w:hanging="360"/>
      </w:pPr>
    </w:lvl>
    <w:lvl w:ilvl="5" w:tplc="1B725D0C" w:tentative="1">
      <w:start w:val="1"/>
      <w:numFmt w:val="lowerRoman"/>
      <w:lvlText w:val="%6."/>
      <w:lvlJc w:val="right"/>
      <w:pPr>
        <w:tabs>
          <w:tab w:val="num" w:pos="4320"/>
        </w:tabs>
        <w:ind w:left="4320" w:hanging="180"/>
      </w:pPr>
    </w:lvl>
    <w:lvl w:ilvl="6" w:tplc="EFE01E3C" w:tentative="1">
      <w:start w:val="1"/>
      <w:numFmt w:val="decimal"/>
      <w:lvlText w:val="%7."/>
      <w:lvlJc w:val="left"/>
      <w:pPr>
        <w:tabs>
          <w:tab w:val="num" w:pos="5040"/>
        </w:tabs>
        <w:ind w:left="5040" w:hanging="360"/>
      </w:pPr>
    </w:lvl>
    <w:lvl w:ilvl="7" w:tplc="5FB0365C" w:tentative="1">
      <w:start w:val="1"/>
      <w:numFmt w:val="lowerLetter"/>
      <w:lvlText w:val="%8."/>
      <w:lvlJc w:val="left"/>
      <w:pPr>
        <w:tabs>
          <w:tab w:val="num" w:pos="5760"/>
        </w:tabs>
        <w:ind w:left="5760" w:hanging="360"/>
      </w:pPr>
    </w:lvl>
    <w:lvl w:ilvl="8" w:tplc="BB36BC06" w:tentative="1">
      <w:start w:val="1"/>
      <w:numFmt w:val="lowerRoman"/>
      <w:lvlText w:val="%9."/>
      <w:lvlJc w:val="right"/>
      <w:pPr>
        <w:tabs>
          <w:tab w:val="num" w:pos="6480"/>
        </w:tabs>
        <w:ind w:left="6480" w:hanging="180"/>
      </w:pPr>
    </w:lvl>
  </w:abstractNum>
  <w:abstractNum w:abstractNumId="1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2043171234">
    <w:abstractNumId w:val="7"/>
  </w:num>
  <w:num w:numId="2" w16cid:durableId="57831036">
    <w:abstractNumId w:val="14"/>
  </w:num>
  <w:num w:numId="3" w16cid:durableId="1279024462">
    <w:abstractNumId w:val="16"/>
  </w:num>
  <w:num w:numId="4" w16cid:durableId="1082489106">
    <w:abstractNumId w:val="3"/>
  </w:num>
  <w:num w:numId="5" w16cid:durableId="2112357707">
    <w:abstractNumId w:val="15"/>
  </w:num>
  <w:num w:numId="6" w16cid:durableId="1179856853">
    <w:abstractNumId w:val="0"/>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7" w16cid:durableId="931015488">
    <w:abstractNumId w:val="4"/>
  </w:num>
  <w:num w:numId="8" w16cid:durableId="46149455">
    <w:abstractNumId w:val="8"/>
  </w:num>
  <w:num w:numId="9" w16cid:durableId="926226992">
    <w:abstractNumId w:val="9"/>
  </w:num>
  <w:num w:numId="10" w16cid:durableId="1641424300">
    <w:abstractNumId w:val="12"/>
  </w:num>
  <w:num w:numId="11" w16cid:durableId="2036038004">
    <w:abstractNumId w:val="6"/>
  </w:num>
  <w:num w:numId="12" w16cid:durableId="979116620">
    <w:abstractNumId w:val="1"/>
  </w:num>
  <w:num w:numId="13" w16cid:durableId="2052417910">
    <w:abstractNumId w:val="10"/>
  </w:num>
  <w:num w:numId="14" w16cid:durableId="871653259">
    <w:abstractNumId w:val="2"/>
  </w:num>
  <w:num w:numId="15" w16cid:durableId="308247439">
    <w:abstractNumId w:val="11"/>
  </w:num>
  <w:num w:numId="16" w16cid:durableId="1749957699">
    <w:abstractNumId w:val="5"/>
  </w:num>
  <w:num w:numId="17" w16cid:durableId="63395244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2FF5"/>
    <w:rsid w:val="000A66D4"/>
    <w:rsid w:val="000B3F8E"/>
    <w:rsid w:val="000C1CDD"/>
    <w:rsid w:val="000C4139"/>
    <w:rsid w:val="000C58AE"/>
    <w:rsid w:val="000C59E9"/>
    <w:rsid w:val="000D1655"/>
    <w:rsid w:val="000D7613"/>
    <w:rsid w:val="000E35BC"/>
    <w:rsid w:val="000F0EEE"/>
    <w:rsid w:val="00111619"/>
    <w:rsid w:val="00153D00"/>
    <w:rsid w:val="00193F4E"/>
    <w:rsid w:val="0019530F"/>
    <w:rsid w:val="001B0483"/>
    <w:rsid w:val="001C7CAB"/>
    <w:rsid w:val="00221127"/>
    <w:rsid w:val="00232353"/>
    <w:rsid w:val="00244BA2"/>
    <w:rsid w:val="00253840"/>
    <w:rsid w:val="00265932"/>
    <w:rsid w:val="002B5ECC"/>
    <w:rsid w:val="002C2FA2"/>
    <w:rsid w:val="002D0F10"/>
    <w:rsid w:val="002D792F"/>
    <w:rsid w:val="002E1CF3"/>
    <w:rsid w:val="002E7BAF"/>
    <w:rsid w:val="002F70AA"/>
    <w:rsid w:val="0030539A"/>
    <w:rsid w:val="00311DE3"/>
    <w:rsid w:val="00313EA5"/>
    <w:rsid w:val="003304D3"/>
    <w:rsid w:val="003445D0"/>
    <w:rsid w:val="00344CD7"/>
    <w:rsid w:val="003848FF"/>
    <w:rsid w:val="003C00C2"/>
    <w:rsid w:val="003C74D5"/>
    <w:rsid w:val="003E6F62"/>
    <w:rsid w:val="0040678C"/>
    <w:rsid w:val="00406A5B"/>
    <w:rsid w:val="0043180E"/>
    <w:rsid w:val="00435C93"/>
    <w:rsid w:val="004424FD"/>
    <w:rsid w:val="00447CFD"/>
    <w:rsid w:val="004709E7"/>
    <w:rsid w:val="004B38FD"/>
    <w:rsid w:val="004B7AA6"/>
    <w:rsid w:val="004C7B06"/>
    <w:rsid w:val="004E2F3D"/>
    <w:rsid w:val="004E7361"/>
    <w:rsid w:val="004E7BA1"/>
    <w:rsid w:val="004F2B36"/>
    <w:rsid w:val="004F3C90"/>
    <w:rsid w:val="004F53A3"/>
    <w:rsid w:val="00514C74"/>
    <w:rsid w:val="005231E9"/>
    <w:rsid w:val="005503A1"/>
    <w:rsid w:val="005503DE"/>
    <w:rsid w:val="00567BC6"/>
    <w:rsid w:val="00591C13"/>
    <w:rsid w:val="0059660D"/>
    <w:rsid w:val="005A77C4"/>
    <w:rsid w:val="005B7CB4"/>
    <w:rsid w:val="005D1B31"/>
    <w:rsid w:val="005D6D79"/>
    <w:rsid w:val="005F739E"/>
    <w:rsid w:val="00610478"/>
    <w:rsid w:val="00642FF5"/>
    <w:rsid w:val="0064390B"/>
    <w:rsid w:val="00645DF8"/>
    <w:rsid w:val="00666B30"/>
    <w:rsid w:val="006865C6"/>
    <w:rsid w:val="006A1C04"/>
    <w:rsid w:val="006C2B95"/>
    <w:rsid w:val="006D465B"/>
    <w:rsid w:val="00700E93"/>
    <w:rsid w:val="0072049C"/>
    <w:rsid w:val="00734CD8"/>
    <w:rsid w:val="007555C6"/>
    <w:rsid w:val="0077117F"/>
    <w:rsid w:val="007749EB"/>
    <w:rsid w:val="00793130"/>
    <w:rsid w:val="007C1B69"/>
    <w:rsid w:val="007C33E7"/>
    <w:rsid w:val="007E4EAE"/>
    <w:rsid w:val="008236B2"/>
    <w:rsid w:val="00833CE3"/>
    <w:rsid w:val="0084333F"/>
    <w:rsid w:val="00852DE6"/>
    <w:rsid w:val="00857AFE"/>
    <w:rsid w:val="00882A84"/>
    <w:rsid w:val="008B1CAA"/>
    <w:rsid w:val="008F45E3"/>
    <w:rsid w:val="0092254B"/>
    <w:rsid w:val="009768F6"/>
    <w:rsid w:val="00986102"/>
    <w:rsid w:val="00986A34"/>
    <w:rsid w:val="00987CF0"/>
    <w:rsid w:val="009A119D"/>
    <w:rsid w:val="009A30E7"/>
    <w:rsid w:val="009B219C"/>
    <w:rsid w:val="009C7202"/>
    <w:rsid w:val="009D1CD3"/>
    <w:rsid w:val="009D2465"/>
    <w:rsid w:val="009D484A"/>
    <w:rsid w:val="009F51CB"/>
    <w:rsid w:val="009F6C9A"/>
    <w:rsid w:val="00A46F4C"/>
    <w:rsid w:val="00A52BE9"/>
    <w:rsid w:val="00AB2793"/>
    <w:rsid w:val="00AC217C"/>
    <w:rsid w:val="00AC74F6"/>
    <w:rsid w:val="00AD5F83"/>
    <w:rsid w:val="00AE45DF"/>
    <w:rsid w:val="00AF7964"/>
    <w:rsid w:val="00B0057F"/>
    <w:rsid w:val="00B3597D"/>
    <w:rsid w:val="00B4008D"/>
    <w:rsid w:val="00B40C26"/>
    <w:rsid w:val="00B4588E"/>
    <w:rsid w:val="00B4661E"/>
    <w:rsid w:val="00B73F48"/>
    <w:rsid w:val="00B76655"/>
    <w:rsid w:val="00BA61EE"/>
    <w:rsid w:val="00BB701F"/>
    <w:rsid w:val="00BD1F6A"/>
    <w:rsid w:val="00BD6789"/>
    <w:rsid w:val="00BE6AB1"/>
    <w:rsid w:val="00C0054C"/>
    <w:rsid w:val="00C021CE"/>
    <w:rsid w:val="00C1060D"/>
    <w:rsid w:val="00C125E6"/>
    <w:rsid w:val="00C50CC5"/>
    <w:rsid w:val="00C52EC2"/>
    <w:rsid w:val="00C5676E"/>
    <w:rsid w:val="00C8696D"/>
    <w:rsid w:val="00C86AFE"/>
    <w:rsid w:val="00C9251E"/>
    <w:rsid w:val="00CE598A"/>
    <w:rsid w:val="00D26DBB"/>
    <w:rsid w:val="00D3770B"/>
    <w:rsid w:val="00D50931"/>
    <w:rsid w:val="00D533EA"/>
    <w:rsid w:val="00D67BA5"/>
    <w:rsid w:val="00D720DE"/>
    <w:rsid w:val="00D76D11"/>
    <w:rsid w:val="00D83675"/>
    <w:rsid w:val="00DA4F3C"/>
    <w:rsid w:val="00DA56B0"/>
    <w:rsid w:val="00DD1504"/>
    <w:rsid w:val="00DF1CDB"/>
    <w:rsid w:val="00E0208B"/>
    <w:rsid w:val="00E052FB"/>
    <w:rsid w:val="00E41A12"/>
    <w:rsid w:val="00E51200"/>
    <w:rsid w:val="00E51E94"/>
    <w:rsid w:val="00E66A6B"/>
    <w:rsid w:val="00E7774E"/>
    <w:rsid w:val="00EB3A6D"/>
    <w:rsid w:val="00EC22E9"/>
    <w:rsid w:val="00ED446E"/>
    <w:rsid w:val="00ED5DA6"/>
    <w:rsid w:val="00EE3360"/>
    <w:rsid w:val="00EE693D"/>
    <w:rsid w:val="00EF66A8"/>
    <w:rsid w:val="00F12692"/>
    <w:rsid w:val="00F50CA2"/>
    <w:rsid w:val="00F62BBA"/>
    <w:rsid w:val="00F70A89"/>
    <w:rsid w:val="00F73927"/>
    <w:rsid w:val="00FA1789"/>
    <w:rsid w:val="00FC2A8F"/>
    <w:rsid w:val="00FD2EAF"/>
    <w:rsid w:val="00FE6904"/>
    <w:rsid w:val="00FF0493"/>
    <w:rsid w:val="00FF0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2"/>
    </o:shapelayout>
  </w:shapeDefaults>
  <w:decimalSymbol w:val="."/>
  <w:listSeparator w:val=","/>
  <w14:docId w14:val="290F46B9"/>
  <w15:chartTrackingRefBased/>
  <w15:docId w15:val="{8C9DD8CC-4014-4194-A9D5-66B55F90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7"/>
      </w:numPr>
      <w:spacing w:before="240" w:after="60"/>
      <w:outlineLvl w:val="0"/>
    </w:pPr>
    <w:rPr>
      <w:rFonts w:ascii="Arial" w:hAnsi="Arial" w:cs="Arial"/>
      <w:b/>
      <w:bCs/>
      <w:kern w:val="32"/>
      <w:sz w:val="32"/>
      <w:szCs w:val="32"/>
    </w:rPr>
  </w:style>
  <w:style w:type="paragraph" w:styleId="Heading2">
    <w:name w:val="heading 2"/>
    <w:aliases w:val="h2"/>
    <w:basedOn w:val="Normal"/>
    <w:next w:val="Normal"/>
    <w:qFormat/>
    <w:pPr>
      <w:keepNext/>
      <w:spacing w:before="240" w:after="120"/>
      <w:outlineLvl w:val="1"/>
    </w:pPr>
    <w:rPr>
      <w:rFonts w:cs="Arial"/>
      <w:b/>
      <w:bCs/>
      <w:iCs/>
      <w:sz w:val="28"/>
      <w:szCs w:val="28"/>
    </w:rPr>
  </w:style>
  <w:style w:type="paragraph" w:styleId="Heading3">
    <w:name w:val="heading 3"/>
    <w:aliases w:val="h3"/>
    <w:basedOn w:val="Normal"/>
    <w:next w:val="Normal"/>
    <w:qFormat/>
    <w:pPr>
      <w:keepNext/>
      <w:spacing w:before="240" w:after="120"/>
      <w:outlineLvl w:val="2"/>
    </w:pPr>
    <w:rPr>
      <w:rFonts w:cs="Arial"/>
      <w:b/>
      <w:bCs/>
      <w:szCs w:val="26"/>
    </w:rPr>
  </w:style>
  <w:style w:type="paragraph" w:styleId="Heading4">
    <w:name w:val="heading 4"/>
    <w:aliases w:val="h4"/>
    <w:basedOn w:val="Normal"/>
    <w:next w:val="Normal"/>
    <w:qFormat/>
    <w:pPr>
      <w:keepNext/>
      <w:spacing w:before="240" w:after="60"/>
      <w:outlineLvl w:val="3"/>
    </w:pPr>
    <w:rPr>
      <w:b/>
      <w:bCs/>
      <w:szCs w:val="28"/>
    </w:rPr>
  </w:style>
  <w:style w:type="paragraph" w:styleId="Heading5">
    <w:name w:val="heading 5"/>
    <w:aliases w:val="h5"/>
    <w:basedOn w:val="Normal"/>
    <w:next w:val="Normal"/>
    <w:qFormat/>
    <w:pPr>
      <w:spacing w:before="240" w:after="60"/>
      <w:outlineLvl w:val="4"/>
    </w:pPr>
    <w:rPr>
      <w:b/>
      <w:bCs/>
      <w:i/>
      <w:iCs/>
      <w:sz w:val="26"/>
      <w:szCs w:val="26"/>
    </w:rPr>
  </w:style>
  <w:style w:type="paragraph" w:styleId="Heading6">
    <w:name w:val="heading 6"/>
    <w:aliases w:val="h6"/>
    <w:basedOn w:val="Normal"/>
    <w:next w:val="Normal"/>
    <w:qFormat/>
    <w:pPr>
      <w:keepNext/>
      <w:pageBreakBefore/>
      <w:spacing w:after="240"/>
      <w:outlineLvl w:val="5"/>
    </w:pPr>
    <w:rPr>
      <w:b/>
      <w:bCs/>
      <w:sz w:val="32"/>
    </w:rPr>
  </w:style>
  <w:style w:type="paragraph" w:styleId="Heading7">
    <w:name w:val="heading 7"/>
    <w:basedOn w:val="Normal"/>
    <w:next w:val="Normal"/>
    <w:qFormat/>
    <w:pPr>
      <w:keepNext/>
      <w:tabs>
        <w:tab w:val="left" w:pos="-720"/>
      </w:tabs>
      <w:suppressAutoHyphens/>
      <w:jc w:val="center"/>
      <w:outlineLvl w:val="6"/>
    </w:pPr>
    <w:rPr>
      <w:bCs/>
      <w:spacing w:val="-6"/>
      <w:sz w:val="28"/>
    </w:rPr>
  </w:style>
  <w:style w:type="paragraph" w:styleId="Heading8">
    <w:name w:val="heading 8"/>
    <w:basedOn w:val="Normal"/>
    <w:next w:val="Normal"/>
    <w:qFormat/>
    <w:pPr>
      <w:spacing w:before="240" w:after="240"/>
      <w:outlineLvl w:val="7"/>
    </w:pPr>
    <w:rPr>
      <w:b/>
      <w:i/>
    </w:rPr>
  </w:style>
  <w:style w:type="paragraph" w:styleId="Heading9">
    <w:name w:val="heading 9"/>
    <w:basedOn w:val="Normal"/>
    <w:next w:val="Normal"/>
    <w:qFormat/>
    <w:pPr>
      <w:keepNext/>
      <w:jc w:val="center"/>
      <w:outlineLvl w:val="8"/>
    </w:pPr>
    <w:rPr>
      <w:b/>
      <w:bCs/>
      <w:sz w:val="4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TOC1">
    <w:name w:val="toc 1"/>
    <w:basedOn w:val="Normal"/>
    <w:next w:val="Normal"/>
    <w:autoRedefine/>
    <w:uiPriority w:val="39"/>
    <w:pPr>
      <w:spacing w:before="120" w:after="120"/>
    </w:pPr>
    <w:rPr>
      <w:b/>
      <w:bCs/>
      <w:caps/>
      <w:sz w:val="20"/>
      <w:szCs w:val="20"/>
    </w:rPr>
  </w:style>
  <w:style w:type="paragraph" w:styleId="TOC2">
    <w:name w:val="toc 2"/>
    <w:basedOn w:val="Normal"/>
    <w:next w:val="Normal"/>
    <w:autoRedefine/>
    <w:uiPriority w:val="39"/>
    <w:rsid w:val="00AF7964"/>
    <w:pPr>
      <w:tabs>
        <w:tab w:val="left" w:pos="720"/>
        <w:tab w:val="right" w:leader="dot" w:pos="9350"/>
      </w:tabs>
      <w:ind w:left="240"/>
    </w:pPr>
    <w:rPr>
      <w:b/>
      <w:smallCaps/>
      <w:noProof/>
      <w:sz w:val="20"/>
      <w:szCs w:val="20"/>
    </w:rPr>
  </w:style>
  <w:style w:type="paragraph" w:styleId="Footer">
    <w:name w:val="footer"/>
    <w:basedOn w:val="Normal"/>
    <w:pPr>
      <w:tabs>
        <w:tab w:val="center" w:pos="4320"/>
        <w:tab w:val="right" w:pos="8640"/>
      </w:tabs>
    </w:pPr>
  </w:style>
  <w:style w:type="paragraph" w:customStyle="1" w:styleId="TableText">
    <w:name w:val="Table Text"/>
    <w:basedOn w:val="Normal"/>
  </w:style>
  <w:style w:type="paragraph" w:customStyle="1" w:styleId="Bold">
    <w:name w:val="Bold"/>
    <w:aliases w:val="10 pt"/>
    <w:basedOn w:val="Normal"/>
    <w:rPr>
      <w:b/>
      <w:sz w:val="20"/>
      <w:szCs w:val="20"/>
    </w:rPr>
  </w:style>
  <w:style w:type="paragraph" w:customStyle="1" w:styleId="Bullet10">
    <w:name w:val="Bullet (1.0)"/>
    <w:basedOn w:val="Normal"/>
    <w:pPr>
      <w:numPr>
        <w:numId w:val="6"/>
      </w:numPr>
    </w:pPr>
    <w:rPr>
      <w:szCs w:val="20"/>
    </w:rPr>
  </w:style>
  <w:style w:type="paragraph" w:customStyle="1" w:styleId="TextBody">
    <w:name w:val="Text Body"/>
    <w:basedOn w:val="Normal"/>
    <w:pPr>
      <w:spacing w:after="240"/>
      <w:ind w:left="1800"/>
    </w:pPr>
  </w:style>
  <w:style w:type="paragraph" w:customStyle="1" w:styleId="Bullet0">
    <w:name w:val="Bullet/#"/>
    <w:basedOn w:val="Bullet10"/>
    <w:pPr>
      <w:ind w:left="2520"/>
    </w:pPr>
  </w:style>
  <w:style w:type="paragraph" w:styleId="BlockText">
    <w:name w:val="Block Text"/>
    <w:aliases w:val="a,b,c"/>
    <w:basedOn w:val="1"/>
    <w:pPr>
      <w:numPr>
        <w:numId w:val="2"/>
      </w:numPr>
    </w:pPr>
  </w:style>
  <w:style w:type="paragraph" w:customStyle="1" w:styleId="1">
    <w:name w:val="1"/>
    <w:aliases w:val="2,3"/>
    <w:basedOn w:val="Normal"/>
    <w:pPr>
      <w:numPr>
        <w:numId w:val="10"/>
      </w:numPr>
      <w:spacing w:after="120"/>
    </w:pPr>
    <w:rPr>
      <w:szCs w:val="20"/>
    </w:rPr>
  </w:style>
  <w:style w:type="paragraph" w:customStyle="1" w:styleId="TableBulletBullet">
    <w:name w:val="Table Bullet/Bullet"/>
    <w:basedOn w:val="Bullet10"/>
    <w:pPr>
      <w:numPr>
        <w:numId w:val="9"/>
      </w:numPr>
    </w:pPr>
  </w:style>
  <w:style w:type="character" w:styleId="PageNumber">
    <w:name w:val="page number"/>
    <w:basedOn w:val="DefaultParagraphFont"/>
  </w:style>
  <w:style w:type="paragraph" w:customStyle="1" w:styleId="Bullet15">
    <w:name w:val="Bullet (1.5)"/>
    <w:basedOn w:val="Bullet10"/>
    <w:pPr>
      <w:numPr>
        <w:numId w:val="7"/>
      </w:numPr>
      <w:spacing w:after="12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jc w:val="both"/>
    </w:pPr>
    <w:rPr>
      <w:spacing w:val="-2"/>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Bullet">
    <w:name w:val="Bullet"/>
    <w:basedOn w:val="Normal"/>
    <w:pPr>
      <w:numPr>
        <w:numId w:val="3"/>
      </w:numPr>
      <w:spacing w:before="60" w:after="120"/>
    </w:pPr>
    <w:rPr>
      <w:szCs w:val="20"/>
    </w:rPr>
  </w:style>
  <w:style w:type="paragraph" w:styleId="BodyTextIndent">
    <w:name w:val="Body Text Indent"/>
    <w:basedOn w:val="Normal"/>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432"/>
      <w:jc w:val="both"/>
    </w:pPr>
    <w:rPr>
      <w:spacing w:val="-2"/>
    </w:rPr>
  </w:style>
  <w:style w:type="paragraph" w:customStyle="1" w:styleId="Table123">
    <w:name w:val="Table 123"/>
    <w:basedOn w:val="TableText"/>
    <w:pPr>
      <w:numPr>
        <w:numId w:val="4"/>
      </w:numPr>
    </w:pPr>
  </w:style>
  <w:style w:type="paragraph" w:customStyle="1" w:styleId="NumContinue">
    <w:name w:val="Num Continue"/>
    <w:basedOn w:val="BodyText"/>
    <w:pPr>
      <w:widowControl w:val="0"/>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firstLine="720"/>
      <w:jc w:val="left"/>
    </w:pPr>
    <w:rPr>
      <w:spacing w:val="0"/>
    </w:rPr>
  </w:style>
  <w:style w:type="paragraph" w:customStyle="1" w:styleId="Bulletafterabc">
    <w:name w:val="Bullet after abc"/>
    <w:basedOn w:val="TableBulletBullet"/>
    <w:pPr>
      <w:ind w:left="2880"/>
    </w:pPr>
  </w:style>
  <w:style w:type="paragraph" w:customStyle="1" w:styleId="Heading2NoN">
    <w:name w:val="Heading 2 NoN"/>
    <w:basedOn w:val="Heading2"/>
    <w:next w:val="Normal"/>
    <w:pPr>
      <w:spacing w:after="240"/>
    </w:pPr>
  </w:style>
  <w:style w:type="paragraph" w:customStyle="1" w:styleId="Tableabc">
    <w:name w:val="Table abc"/>
    <w:basedOn w:val="Table123"/>
    <w:pPr>
      <w:numPr>
        <w:numId w:val="5"/>
      </w:numPr>
      <w:spacing w:after="120"/>
    </w:pPr>
  </w:style>
  <w:style w:type="paragraph" w:styleId="TOC3">
    <w:name w:val="toc 3"/>
    <w:basedOn w:val="Normal"/>
    <w:next w:val="Normal"/>
    <w:autoRedefine/>
    <w:uiPriority w:val="39"/>
    <w:rsid w:val="00265932"/>
    <w:pPr>
      <w:tabs>
        <w:tab w:val="left" w:pos="1200"/>
        <w:tab w:val="right" w:leader="dot" w:pos="9350"/>
      </w:tabs>
      <w:ind w:left="480"/>
    </w:pPr>
    <w:rPr>
      <w:i/>
      <w:iCs/>
      <w:noProof/>
      <w:sz w:val="16"/>
      <w:szCs w:val="16"/>
    </w:rPr>
  </w:style>
  <w:style w:type="paragraph" w:customStyle="1" w:styleId="TableBulletafterNum">
    <w:name w:val="Table Bullet after Num"/>
    <w:basedOn w:val="TableBulletBullet"/>
    <w:pPr>
      <w:numPr>
        <w:numId w:val="1"/>
      </w:numPr>
    </w:p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character" w:styleId="Hyperlink">
    <w:name w:val="Hyperlink"/>
    <w:uiPriority w:val="99"/>
    <w:rPr>
      <w:color w:val="0000FF"/>
      <w:u w:val="single"/>
    </w:rPr>
  </w:style>
  <w:style w:type="paragraph" w:customStyle="1" w:styleId="TableBullet">
    <w:name w:val="Table Bullet"/>
    <w:basedOn w:val="TableText"/>
    <w:pPr>
      <w:numPr>
        <w:numId w:val="8"/>
      </w:numPr>
    </w:pPr>
  </w:style>
  <w:style w:type="paragraph" w:styleId="TOAHeading">
    <w:name w:val="toa heading"/>
    <w:basedOn w:val="Normal"/>
    <w:next w:val="Normal"/>
    <w:semiHidden/>
    <w:pPr>
      <w:tabs>
        <w:tab w:val="left" w:pos="9000"/>
        <w:tab w:val="right" w:pos="9360"/>
      </w:tabs>
      <w:suppressAutoHyphens/>
    </w:pPr>
    <w:rPr>
      <w:sz w:val="22"/>
      <w:szCs w:val="20"/>
    </w:rPr>
  </w:style>
  <w:style w:type="paragraph" w:styleId="BodyText2">
    <w:name w:val="Body Text 2"/>
    <w:basedOn w:val="Normal"/>
    <w:pPr>
      <w:jc w:val="center"/>
    </w:pPr>
    <w:rPr>
      <w:b/>
      <w:bCs/>
    </w:rPr>
  </w:style>
  <w:style w:type="paragraph" w:styleId="BodyTextIndent2">
    <w:name w:val="Body Text Indent 2"/>
    <w:basedOn w:val="Normal"/>
    <w:pPr>
      <w:tabs>
        <w:tab w:val="left" w:pos="720"/>
      </w:tabs>
      <w:ind w:left="720" w:hanging="720"/>
    </w:pPr>
  </w:style>
  <w:style w:type="paragraph" w:styleId="BodyTextIndent3">
    <w:name w:val="Body Text Indent 3"/>
    <w:basedOn w:val="Normal"/>
    <w:pPr>
      <w:widowControl w:val="0"/>
      <w:ind w:left="720"/>
    </w:pPr>
    <w:rPr>
      <w:rFonts w:ascii="Courier New" w:hAnsi="Courier New"/>
      <w:snapToGrid w:val="0"/>
      <w:sz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Pr>
      <w:spacing w:val="-2"/>
      <w:sz w:val="24"/>
      <w:lang w:val="en-US" w:eastAsia="en-US" w:bidi="ar-SA"/>
    </w:rPr>
  </w:style>
  <w:style w:type="character" w:customStyle="1" w:styleId="List2Char">
    <w:name w:val="List 2 Char"/>
    <w:link w:val="List2"/>
    <w:rPr>
      <w:sz w:val="24"/>
      <w:szCs w:val="24"/>
      <w:lang w:val="en-US" w:eastAsia="en-US" w:bidi="ar-SA"/>
    </w:rPr>
  </w:style>
  <w:style w:type="paragraph" w:styleId="List2">
    <w:name w:val="List 2"/>
    <w:basedOn w:val="Normal"/>
    <w:link w:val="List2Char"/>
    <w:pPr>
      <w:ind w:left="720" w:hanging="360"/>
    </w:pPr>
  </w:style>
  <w:style w:type="paragraph" w:styleId="CommentSubject">
    <w:name w:val="annotation subject"/>
    <w:basedOn w:val="CommentText"/>
    <w:next w:val="CommentText"/>
    <w:semiHidden/>
    <w:rPr>
      <w:b/>
      <w:bCs/>
    </w:rPr>
  </w:style>
  <w:style w:type="paragraph" w:styleId="List3">
    <w:name w:val="List 3"/>
    <w:basedOn w:val="Normal"/>
    <w:pPr>
      <w:ind w:left="1080" w:hanging="360"/>
    </w:pPr>
  </w:style>
  <w:style w:type="paragraph" w:styleId="List">
    <w:name w:val="List"/>
    <w:aliases w:val=" Char1"/>
    <w:basedOn w:val="Normal"/>
    <w:link w:val="ListChar"/>
    <w:pPr>
      <w:ind w:left="360" w:hanging="360"/>
    </w:pPr>
  </w:style>
  <w:style w:type="paragraph" w:customStyle="1" w:styleId="H2">
    <w:name w:val="H2"/>
    <w:basedOn w:val="Heading2"/>
    <w:next w:val="BodyText"/>
    <w:pPr>
      <w:pageBreakBefore/>
      <w:tabs>
        <w:tab w:val="left" w:pos="720"/>
      </w:tabs>
      <w:spacing w:after="240"/>
      <w:ind w:left="720" w:hanging="720"/>
    </w:pPr>
    <w:rPr>
      <w:rFonts w:cs="Times New Roman"/>
      <w:bCs w:val="0"/>
      <w:iCs w:val="0"/>
      <w:sz w:val="24"/>
      <w:szCs w:val="20"/>
    </w:rPr>
  </w:style>
  <w:style w:type="paragraph" w:customStyle="1" w:styleId="H3">
    <w:name w:val="H3"/>
    <w:basedOn w:val="Heading3"/>
    <w:next w:val="BodyText"/>
    <w:link w:val="H3Char"/>
    <w:pPr>
      <w:tabs>
        <w:tab w:val="left" w:pos="1008"/>
      </w:tabs>
      <w:spacing w:after="240"/>
      <w:ind w:left="1008" w:hanging="1008"/>
    </w:pPr>
    <w:rPr>
      <w:rFonts w:cs="Times New Roman"/>
      <w:i/>
      <w:szCs w:val="20"/>
    </w:rPr>
  </w:style>
  <w:style w:type="paragraph" w:customStyle="1" w:styleId="BodyTextNumbered">
    <w:name w:val="Body Text Numbered"/>
    <w:basedOn w:val="BodyText"/>
    <w:link w:val="BodyTextNumberedChar1"/>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left="720" w:hanging="720"/>
      <w:jc w:val="left"/>
    </w:pPr>
    <w:rPr>
      <w:iCs/>
      <w:spacing w:val="0"/>
    </w:rPr>
  </w:style>
  <w:style w:type="character" w:customStyle="1" w:styleId="BodyTextNumberedChar1">
    <w:name w:val="Body Text Numbered Char1"/>
    <w:link w:val="BodyTextNumbered"/>
    <w:rPr>
      <w:iCs/>
      <w:sz w:val="24"/>
      <w:lang w:val="en-US" w:eastAsia="en-US" w:bidi="ar-SA"/>
    </w:rPr>
  </w:style>
  <w:style w:type="paragraph" w:customStyle="1" w:styleId="Char3">
    <w:name w:val="Char3"/>
    <w:basedOn w:val="Normal"/>
    <w:pPr>
      <w:spacing w:after="160" w:line="240" w:lineRule="exact"/>
    </w:pPr>
    <w:rPr>
      <w:rFonts w:ascii="Verdana" w:hAnsi="Verdana"/>
      <w:sz w:val="16"/>
      <w:szCs w:val="20"/>
    </w:rPr>
  </w:style>
  <w:style w:type="paragraph" w:customStyle="1" w:styleId="Heading2NN">
    <w:name w:val="Heading 2 NN"/>
    <w:basedOn w:val="Heading2"/>
  </w:style>
  <w:style w:type="paragraph" w:styleId="Title">
    <w:name w:val="Title"/>
    <w:basedOn w:val="Normal"/>
    <w:qFormat/>
    <w:pPr>
      <w:jc w:val="center"/>
    </w:pPr>
    <w:rPr>
      <w:b/>
      <w:bCs/>
    </w:rPr>
  </w:style>
  <w:style w:type="paragraph" w:customStyle="1" w:styleId="H4">
    <w:name w:val="H4"/>
    <w:basedOn w:val="Heading4"/>
    <w:next w:val="BodyText"/>
    <w:link w:val="H4Char"/>
    <w:pPr>
      <w:widowControl w:val="0"/>
      <w:tabs>
        <w:tab w:val="left" w:pos="1296"/>
      </w:tabs>
      <w:spacing w:after="240"/>
      <w:ind w:left="1296" w:hanging="1296"/>
    </w:pPr>
    <w:rPr>
      <w:snapToGrid w:val="0"/>
      <w:szCs w:val="20"/>
    </w:rPr>
  </w:style>
  <w:style w:type="paragraph" w:styleId="TableofFigures">
    <w:name w:val="table of figures"/>
    <w:basedOn w:val="Normal"/>
    <w:next w:val="Normal"/>
    <w:semiHidden/>
    <w:pPr>
      <w:ind w:left="480" w:hanging="480"/>
    </w:pPr>
  </w:style>
  <w:style w:type="paragraph" w:customStyle="1" w:styleId="TXUFooterPage">
    <w:name w:val="TXUFooterPage"/>
    <w:basedOn w:val="Normal"/>
    <w:next w:val="Normal"/>
    <w:pPr>
      <w:pBdr>
        <w:top w:val="single" w:sz="4" w:space="1" w:color="auto"/>
      </w:pBdr>
      <w:tabs>
        <w:tab w:val="center" w:pos="4536"/>
        <w:tab w:val="right" w:pos="9360"/>
      </w:tabs>
    </w:pPr>
    <w:rPr>
      <w:sz w:val="20"/>
      <w:szCs w:val="20"/>
    </w:rPr>
  </w:style>
  <w:style w:type="paragraph" w:customStyle="1" w:styleId="H5">
    <w:name w:val="H5"/>
    <w:basedOn w:val="Heading5"/>
    <w:next w:val="BodyText"/>
    <w:pPr>
      <w:keepNext/>
      <w:tabs>
        <w:tab w:val="left" w:pos="1440"/>
      </w:tabs>
      <w:spacing w:after="240"/>
      <w:ind w:left="1440" w:hanging="1440"/>
    </w:pPr>
    <w:rPr>
      <w:sz w:val="24"/>
    </w:rPr>
  </w:style>
  <w:style w:type="paragraph" w:customStyle="1" w:styleId="H6">
    <w:name w:val="H6"/>
    <w:basedOn w:val="Heading6"/>
    <w:next w:val="BodyText"/>
    <w:pPr>
      <w:pageBreakBefore w:val="0"/>
      <w:tabs>
        <w:tab w:val="left" w:pos="1584"/>
      </w:tabs>
      <w:spacing w:before="240"/>
      <w:ind w:left="1584" w:hanging="1584"/>
    </w:pPr>
    <w:rPr>
      <w:sz w:val="24"/>
      <w:szCs w:val="22"/>
    </w:rPr>
  </w:style>
  <w:style w:type="paragraph" w:customStyle="1" w:styleId="H7">
    <w:name w:val="H7"/>
    <w:basedOn w:val="Heading7"/>
    <w:next w:val="BodyText"/>
    <w:pPr>
      <w:tabs>
        <w:tab w:val="clear" w:pos="-720"/>
        <w:tab w:val="left" w:pos="1728"/>
      </w:tabs>
      <w:suppressAutoHyphens w:val="0"/>
      <w:spacing w:before="240" w:after="240"/>
      <w:ind w:left="1728" w:hanging="1728"/>
      <w:jc w:val="left"/>
    </w:pPr>
    <w:rPr>
      <w:bCs w:val="0"/>
      <w:spacing w:val="0"/>
      <w:sz w:val="24"/>
    </w:rPr>
  </w:style>
  <w:style w:type="paragraph" w:customStyle="1" w:styleId="H8">
    <w:name w:val="H8"/>
    <w:basedOn w:val="Heading8"/>
    <w:next w:val="BodyText"/>
    <w:pPr>
      <w:keepNext/>
      <w:tabs>
        <w:tab w:val="left" w:pos="1872"/>
      </w:tabs>
      <w:ind w:left="1872" w:hanging="1872"/>
    </w:pPr>
    <w:rPr>
      <w:b w:val="0"/>
      <w:iCs/>
    </w:rPr>
  </w:style>
  <w:style w:type="paragraph" w:customStyle="1" w:styleId="H9">
    <w:name w:val="H9"/>
    <w:basedOn w:val="Heading9"/>
    <w:next w:val="BodyText"/>
    <w:pPr>
      <w:tabs>
        <w:tab w:val="left" w:pos="2160"/>
      </w:tabs>
      <w:spacing w:before="240" w:after="240"/>
      <w:ind w:left="2160" w:hanging="2160"/>
      <w:jc w:val="left"/>
    </w:pPr>
    <w:rPr>
      <w:bCs w:val="0"/>
      <w:sz w:val="24"/>
    </w:rPr>
  </w:style>
  <w:style w:type="paragraph" w:customStyle="1" w:styleId="StandardL3">
    <w:name w:val="Standard_L3"/>
    <w:basedOn w:val="Normal"/>
    <w:next w:val="Normal"/>
    <w:pPr>
      <w:spacing w:after="240"/>
      <w:outlineLvl w:val="2"/>
    </w:pPr>
    <w:rPr>
      <w:szCs w:val="20"/>
    </w:rPr>
  </w:style>
  <w:style w:type="paragraph" w:customStyle="1" w:styleId="ListIntroduction">
    <w:name w:val="List Introduction"/>
    <w:basedOn w:val="BodyText"/>
    <w:pPr>
      <w:keepNex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pPr>
    <w:rPr>
      <w:iCs/>
      <w:spacing w:val="0"/>
    </w:rPr>
  </w:style>
  <w:style w:type="character" w:customStyle="1" w:styleId="ListChar">
    <w:name w:val="List Char"/>
    <w:aliases w:val=" Char1 Char"/>
    <w:link w:val="List"/>
    <w:rPr>
      <w:sz w:val="24"/>
      <w:szCs w:val="24"/>
      <w:lang w:val="en-US" w:eastAsia="en-US" w:bidi="ar-SA"/>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Instructions">
    <w:name w:val="Instructions"/>
    <w:basedOn w:val="BodyText"/>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pPr>
    <w:rPr>
      <w:b/>
      <w:i/>
      <w:iCs/>
      <w:spacing w:val="0"/>
      <w:szCs w:val="24"/>
    </w:rPr>
  </w:style>
  <w:style w:type="paragraph" w:customStyle="1" w:styleId="Spaceafterbox">
    <w:name w:val="Space after box"/>
    <w:basedOn w:val="Normal"/>
    <w:rPr>
      <w:szCs w:val="20"/>
    </w:rPr>
  </w:style>
  <w:style w:type="paragraph" w:customStyle="1" w:styleId="NormalArial">
    <w:name w:val="Normal+Arial"/>
    <w:basedOn w:val="Normal"/>
    <w:link w:val="NormalArialChar"/>
    <w:rPr>
      <w:rFonts w:ascii="Arial" w:hAnsi="Arial"/>
    </w:rPr>
  </w:style>
  <w:style w:type="character" w:customStyle="1" w:styleId="NormalArialChar">
    <w:name w:val="Normal+Arial Char"/>
    <w:link w:val="NormalArial"/>
    <w:rPr>
      <w:rFonts w:ascii="Arial" w:hAnsi="Arial"/>
      <w:sz w:val="24"/>
      <w:szCs w:val="24"/>
      <w:lang w:val="en-US" w:eastAsia="en-US" w:bidi="ar-SA"/>
    </w:rPr>
  </w:style>
  <w:style w:type="character" w:customStyle="1" w:styleId="H3Char">
    <w:name w:val="H3 Char"/>
    <w:link w:val="H3"/>
    <w:rsid w:val="004B7AA6"/>
    <w:rPr>
      <w:b/>
      <w:bCs/>
      <w:i/>
      <w:sz w:val="24"/>
      <w:lang w:val="en-US" w:eastAsia="en-US" w:bidi="ar-SA"/>
    </w:rPr>
  </w:style>
  <w:style w:type="character" w:customStyle="1" w:styleId="H4Char">
    <w:name w:val="H4 Char"/>
    <w:link w:val="H4"/>
    <w:rsid w:val="004B7AA6"/>
    <w:rPr>
      <w:b/>
      <w:bCs/>
      <w:snapToGrid w:val="0"/>
      <w:sz w:val="24"/>
      <w:lang w:val="en-US" w:eastAsia="en-US" w:bidi="ar-SA"/>
    </w:rPr>
  </w:style>
  <w:style w:type="paragraph" w:styleId="Revision">
    <w:name w:val="Revision"/>
    <w:hidden/>
    <w:uiPriority w:val="99"/>
    <w:semiHidden/>
    <w:rsid w:val="005503A1"/>
    <w:rPr>
      <w:sz w:val="24"/>
      <w:szCs w:val="24"/>
    </w:rPr>
  </w:style>
  <w:style w:type="character" w:styleId="IntenseEmphasis">
    <w:name w:val="Intense Emphasis"/>
    <w:uiPriority w:val="21"/>
    <w:qFormat/>
    <w:rsid w:val="00C5676E"/>
    <w:rPr>
      <w:i/>
      <w:iCs/>
      <w:color w:val="15608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23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Operation%20Guid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Operation Guide Template.dot</Template>
  <TotalTime>20</TotalTime>
  <Pages>7</Pages>
  <Words>934</Words>
  <Characters>5330</Characters>
  <Application>Microsoft Office Word</Application>
  <DocSecurity>0</DocSecurity>
  <Lines>115</Lines>
  <Paragraphs>33</Paragraphs>
  <ScaleCrop>false</ScaleCrop>
  <HeadingPairs>
    <vt:vector size="2" baseType="variant">
      <vt:variant>
        <vt:lpstr>Title</vt:lpstr>
      </vt:variant>
      <vt:variant>
        <vt:i4>1</vt:i4>
      </vt:variant>
    </vt:vector>
  </HeadingPairs>
  <TitlesOfParts>
    <vt:vector size="1" baseType="lpstr">
      <vt:lpstr>Reports and Forms</vt:lpstr>
    </vt:vector>
  </TitlesOfParts>
  <Company>Appendix A</Company>
  <LinksUpToDate>false</LinksUpToDate>
  <CharactersWithSpaces>6231</CharactersWithSpaces>
  <SharedDoc>false</SharedDoc>
  <HLinks>
    <vt:vector size="12" baseType="variant">
      <vt:variant>
        <vt:i4>1048635</vt:i4>
      </vt:variant>
      <vt:variant>
        <vt:i4>8</vt:i4>
      </vt:variant>
      <vt:variant>
        <vt:i4>0</vt:i4>
      </vt:variant>
      <vt:variant>
        <vt:i4>5</vt:i4>
      </vt:variant>
      <vt:variant>
        <vt:lpwstr/>
      </vt:variant>
      <vt:variant>
        <vt:lpwstr>_Toc311210841</vt:lpwstr>
      </vt:variant>
      <vt:variant>
        <vt:i4>1048635</vt:i4>
      </vt:variant>
      <vt:variant>
        <vt:i4>2</vt:i4>
      </vt:variant>
      <vt:variant>
        <vt:i4>0</vt:i4>
      </vt:variant>
      <vt:variant>
        <vt:i4>5</vt:i4>
      </vt:variant>
      <vt:variant>
        <vt:lpwstr/>
      </vt:variant>
      <vt:variant>
        <vt:lpwstr>_Toc311210840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Reports and Forms</dc:title>
  <dc:subject>Document #OPG00A</dc:subject>
  <dc:creator>KEMA Consulting</dc:creator>
  <cp:keywords>ERCOT Operating Guide #OPG00A</cp:keywords>
  <dc:description>February 28, 2001</dc:description>
  <cp:lastModifiedBy>ERCOT</cp:lastModifiedBy>
  <cp:revision>3</cp:revision>
  <cp:lastPrinted>2002-04-16T21:14:00Z</cp:lastPrinted>
  <dcterms:created xsi:type="dcterms:W3CDTF">2025-11-26T15:12:00Z</dcterms:created>
  <dcterms:modified xsi:type="dcterms:W3CDTF">2025-11-26T15:12:00Z</dcterms:modified>
  <cp:category>Version 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2025-11-26T15:12:33Z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923314e8-7f05-44c1-8a6b-5e048a01c147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