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72" w:rsidRPr="00E2657B" w:rsidRDefault="006F0C72" w:rsidP="006F0C72">
      <w:pPr>
        <w:jc w:val="center"/>
        <w:rPr>
          <w:b/>
          <w:bCs/>
          <w:color w:val="0070C0"/>
          <w:sz w:val="36"/>
          <w:szCs w:val="36"/>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0" w:name="_ktdra9vpvlax" w:colFirst="0" w:colLast="0"/>
      <w:bookmarkEnd w:id="0"/>
      <w:r w:rsidRPr="00E2657B">
        <w:rPr>
          <w:b/>
          <w:bCs/>
          <w:color w:val="0070C0"/>
          <w:sz w:val="36"/>
          <w:szCs w:val="36"/>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MSWG Meeting Notes</w:t>
      </w:r>
    </w:p>
    <w:p w:rsidR="006F0C72" w:rsidRDefault="006F0C72" w:rsidP="006F0C72">
      <w:pPr>
        <w:spacing w:before="120"/>
        <w:jc w:val="center"/>
        <w:rPr>
          <w:color w:val="000000"/>
          <w:sz w:val="21"/>
          <w:szCs w:val="21"/>
          <w:shd w:val="clear" w:color="auto" w:fill="FFFFFF"/>
        </w:rPr>
      </w:pPr>
      <w:r>
        <w:rPr>
          <w:rStyle w:val="Strong"/>
          <w:color w:val="000000"/>
          <w:sz w:val="21"/>
          <w:szCs w:val="21"/>
          <w:shd w:val="clear" w:color="auto" w:fill="FFFFFF"/>
        </w:rPr>
        <w:t>Meeting Date: May 28, 2019</w:t>
      </w:r>
    </w:p>
    <w:p w:rsidR="006972F2" w:rsidRPr="00E82592" w:rsidRDefault="004441B2">
      <w:pPr>
        <w:pStyle w:val="Heading5"/>
        <w:keepNext w:val="0"/>
        <w:keepLines w:val="0"/>
        <w:pBdr>
          <w:top w:val="none" w:sz="0" w:space="1" w:color="auto"/>
          <w:bottom w:val="none" w:sz="0" w:space="3" w:color="auto"/>
        </w:pBdr>
        <w:shd w:val="clear" w:color="auto" w:fill="FFFFFF"/>
        <w:spacing w:before="0" w:after="0"/>
        <w:rPr>
          <w:color w:val="5B6770"/>
          <w:sz w:val="21"/>
          <w:szCs w:val="21"/>
          <w:highlight w:val="white"/>
        </w:rPr>
      </w:pPr>
      <w:r w:rsidRPr="00E82592">
        <w:rPr>
          <w:color w:val="5B6770"/>
          <w:sz w:val="21"/>
          <w:szCs w:val="21"/>
          <w:highlight w:val="white"/>
        </w:rPr>
        <w:t>Agenda</w:t>
      </w:r>
    </w:p>
    <w:tbl>
      <w:tblPr>
        <w:tblStyle w:val="a"/>
        <w:tblW w:w="9585" w:type="dxa"/>
        <w:tblBorders>
          <w:top w:val="nil"/>
          <w:left w:val="nil"/>
          <w:bottom w:val="nil"/>
          <w:right w:val="nil"/>
          <w:insideH w:val="nil"/>
          <w:insideV w:val="nil"/>
        </w:tblBorders>
        <w:tblLayout w:type="fixed"/>
        <w:tblLook w:val="0600" w:firstRow="0" w:lastRow="0" w:firstColumn="0" w:lastColumn="0" w:noHBand="1" w:noVBand="1"/>
      </w:tblPr>
      <w:tblGrid>
        <w:gridCol w:w="435"/>
        <w:gridCol w:w="9150"/>
      </w:tblGrid>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1.</w:t>
            </w:r>
          </w:p>
        </w:tc>
        <w:tc>
          <w:tcPr>
            <w:tcW w:w="9150" w:type="dxa"/>
            <w:tcBorders>
              <w:top w:val="nil"/>
              <w:left w:val="nil"/>
              <w:bottom w:val="nil"/>
              <w:right w:val="nil"/>
            </w:tcBorders>
            <w:tcMar>
              <w:top w:w="100" w:type="dxa"/>
              <w:left w:w="100" w:type="dxa"/>
              <w:bottom w:w="0" w:type="dxa"/>
              <w:right w:w="220" w:type="dxa"/>
            </w:tcMar>
          </w:tcPr>
          <w:p w:rsidR="006972F2" w:rsidRPr="00E82592" w:rsidRDefault="004441B2">
            <w:pPr>
              <w:spacing w:after="40"/>
              <w:rPr>
                <w:color w:val="5B6770"/>
                <w:sz w:val="21"/>
                <w:szCs w:val="21"/>
                <w:highlight w:val="white"/>
              </w:rPr>
            </w:pPr>
            <w:r w:rsidRPr="00E82592">
              <w:rPr>
                <w:color w:val="5B6770"/>
                <w:sz w:val="21"/>
                <w:szCs w:val="21"/>
                <w:highlight w:val="white"/>
              </w:rPr>
              <w:t>Antitrust Admonition</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2.</w:t>
            </w:r>
          </w:p>
        </w:tc>
        <w:tc>
          <w:tcPr>
            <w:tcW w:w="9150" w:type="dxa"/>
            <w:tcBorders>
              <w:top w:val="nil"/>
              <w:left w:val="nil"/>
              <w:bottom w:val="nil"/>
              <w:right w:val="nil"/>
            </w:tcBorders>
            <w:tcMar>
              <w:top w:w="100" w:type="dxa"/>
              <w:left w:w="100" w:type="dxa"/>
              <w:bottom w:w="0" w:type="dxa"/>
              <w:right w:w="220" w:type="dxa"/>
            </w:tcMar>
          </w:tcPr>
          <w:p w:rsidR="006972F2" w:rsidRDefault="00E82592" w:rsidP="00E82592">
            <w:pPr>
              <w:spacing w:after="40"/>
              <w:rPr>
                <w:color w:val="5B6770"/>
                <w:sz w:val="21"/>
                <w:szCs w:val="21"/>
                <w:highlight w:val="white"/>
              </w:rPr>
            </w:pPr>
            <w:r>
              <w:rPr>
                <w:color w:val="5B6770"/>
                <w:sz w:val="21"/>
                <w:szCs w:val="21"/>
                <w:highlight w:val="white"/>
              </w:rPr>
              <w:t>Agenda Review and Roll Call</w:t>
            </w:r>
          </w:p>
          <w:p w:rsidR="00E82592" w:rsidRPr="00E82592" w:rsidRDefault="00E82592" w:rsidP="00E82592">
            <w:pPr>
              <w:spacing w:after="40"/>
              <w:rPr>
                <w:color w:val="FF0000"/>
                <w:sz w:val="21"/>
                <w:szCs w:val="21"/>
                <w:highlight w:val="white"/>
              </w:rPr>
            </w:pPr>
            <w:r>
              <w:rPr>
                <w:color w:val="FF0000"/>
                <w:sz w:val="21"/>
                <w:szCs w:val="21"/>
              </w:rPr>
              <w:t>Admonition read; Role taken; All agenda items discussed.</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3.</w:t>
            </w:r>
          </w:p>
        </w:tc>
        <w:tc>
          <w:tcPr>
            <w:tcW w:w="9150" w:type="dxa"/>
            <w:tcBorders>
              <w:top w:val="nil"/>
              <w:left w:val="nil"/>
              <w:bottom w:val="nil"/>
              <w:right w:val="nil"/>
            </w:tcBorders>
            <w:tcMar>
              <w:top w:w="100" w:type="dxa"/>
              <w:left w:w="100" w:type="dxa"/>
              <w:bottom w:w="0" w:type="dxa"/>
              <w:right w:w="220" w:type="dxa"/>
            </w:tcMar>
          </w:tcPr>
          <w:p w:rsidR="006972F2" w:rsidRDefault="00E82592" w:rsidP="00E82592">
            <w:pPr>
              <w:spacing w:after="40"/>
              <w:rPr>
                <w:color w:val="5B6770"/>
                <w:sz w:val="21"/>
                <w:szCs w:val="21"/>
                <w:highlight w:val="white"/>
              </w:rPr>
            </w:pPr>
            <w:r>
              <w:rPr>
                <w:color w:val="5B6770"/>
                <w:sz w:val="21"/>
                <w:szCs w:val="21"/>
                <w:highlight w:val="white"/>
              </w:rPr>
              <w:t>Review of March meeting notes</w:t>
            </w:r>
          </w:p>
          <w:p w:rsidR="00E82592" w:rsidRPr="00E82592" w:rsidRDefault="009C4C8B" w:rsidP="00E82592">
            <w:pPr>
              <w:spacing w:after="40"/>
              <w:rPr>
                <w:color w:val="FF0000"/>
                <w:sz w:val="21"/>
                <w:szCs w:val="21"/>
                <w:highlight w:val="white"/>
              </w:rPr>
            </w:pPr>
            <w:r>
              <w:rPr>
                <w:color w:val="FF0000"/>
                <w:sz w:val="21"/>
                <w:szCs w:val="21"/>
              </w:rPr>
              <w:t>No comments/changes</w:t>
            </w:r>
            <w:r w:rsidR="00E82592">
              <w:rPr>
                <w:color w:val="FF0000"/>
                <w:sz w:val="21"/>
                <w:szCs w:val="21"/>
              </w:rPr>
              <w:t>.</w:t>
            </w:r>
          </w:p>
        </w:tc>
      </w:tr>
      <w:tr w:rsidR="006972F2" w:rsidRPr="00E82592">
        <w:trPr>
          <w:trHeight w:val="98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4.</w:t>
            </w:r>
          </w:p>
        </w:tc>
        <w:tc>
          <w:tcPr>
            <w:tcW w:w="9150" w:type="dxa"/>
            <w:tcBorders>
              <w:top w:val="nil"/>
              <w:left w:val="nil"/>
              <w:bottom w:val="nil"/>
              <w:right w:val="nil"/>
            </w:tcBorders>
            <w:tcMar>
              <w:top w:w="100" w:type="dxa"/>
              <w:left w:w="100" w:type="dxa"/>
              <w:bottom w:w="0" w:type="dxa"/>
              <w:right w:w="220" w:type="dxa"/>
            </w:tcMar>
          </w:tcPr>
          <w:p w:rsidR="006972F2" w:rsidRPr="00E82592" w:rsidRDefault="004441B2">
            <w:pPr>
              <w:spacing w:after="40"/>
              <w:rPr>
                <w:color w:val="FF0000"/>
                <w:sz w:val="21"/>
                <w:szCs w:val="21"/>
                <w:highlight w:val="white"/>
              </w:rPr>
            </w:pPr>
            <w:r w:rsidRPr="00E82592">
              <w:rPr>
                <w:color w:val="5B6770"/>
                <w:sz w:val="21"/>
                <w:szCs w:val="21"/>
                <w:highlight w:val="white"/>
              </w:rPr>
              <w:t xml:space="preserve">a. NPRR885 Must-Run Alternative (MRA) Topic: Performance Evaluation  </w:t>
            </w:r>
          </w:p>
          <w:p w:rsidR="0054044D" w:rsidRDefault="0054044D">
            <w:pPr>
              <w:spacing w:after="40"/>
              <w:rPr>
                <w:color w:val="FF0000"/>
                <w:sz w:val="21"/>
                <w:szCs w:val="21"/>
                <w:highlight w:val="white"/>
              </w:rPr>
            </w:pPr>
            <w:r>
              <w:rPr>
                <w:color w:val="FF0000"/>
                <w:sz w:val="21"/>
                <w:szCs w:val="21"/>
                <w:highlight w:val="white"/>
              </w:rPr>
              <w:t xml:space="preserve">Carl </w:t>
            </w:r>
            <w:proofErr w:type="spellStart"/>
            <w:r>
              <w:rPr>
                <w:color w:val="FF0000"/>
                <w:sz w:val="21"/>
                <w:szCs w:val="21"/>
                <w:highlight w:val="white"/>
              </w:rPr>
              <w:t>Raish</w:t>
            </w:r>
            <w:proofErr w:type="spellEnd"/>
            <w:r>
              <w:rPr>
                <w:color w:val="FF0000"/>
                <w:sz w:val="21"/>
                <w:szCs w:val="21"/>
                <w:highlight w:val="white"/>
              </w:rPr>
              <w:t xml:space="preserve"> and Ino Gonzales from ERCOT provided a presentation on the details and revisions made i</w:t>
            </w:r>
            <w:r w:rsidR="007D4FB5">
              <w:rPr>
                <w:color w:val="FF0000"/>
                <w:sz w:val="21"/>
                <w:szCs w:val="21"/>
                <w:highlight w:val="white"/>
              </w:rPr>
              <w:t>n NPRR885.  The presentation</w:t>
            </w:r>
            <w:r>
              <w:rPr>
                <w:color w:val="FF0000"/>
                <w:sz w:val="21"/>
                <w:szCs w:val="21"/>
                <w:highlight w:val="white"/>
              </w:rPr>
              <w:t xml:space="preserve"> focused on performance metrics for MRA Service provided by Demand Response and Other Generation.  Some highlights are listed below.  Please see the original file posted on the meeting page for the complete presentation:</w:t>
            </w:r>
          </w:p>
          <w:p w:rsidR="006972F2" w:rsidRPr="0054044D" w:rsidRDefault="004441B2" w:rsidP="0054044D">
            <w:pPr>
              <w:pStyle w:val="ListParagraph"/>
              <w:numPr>
                <w:ilvl w:val="0"/>
                <w:numId w:val="1"/>
              </w:numPr>
              <w:spacing w:after="40"/>
              <w:rPr>
                <w:color w:val="FF0000"/>
                <w:sz w:val="21"/>
                <w:szCs w:val="21"/>
                <w:highlight w:val="white"/>
              </w:rPr>
            </w:pPr>
            <w:r w:rsidRPr="0054044D">
              <w:rPr>
                <w:color w:val="FF0000"/>
                <w:sz w:val="21"/>
                <w:szCs w:val="21"/>
                <w:highlight w:val="white"/>
              </w:rPr>
              <w:t xml:space="preserve">MRA deployment </w:t>
            </w:r>
            <w:r w:rsidR="00CE61D8">
              <w:rPr>
                <w:color w:val="FF0000"/>
                <w:sz w:val="21"/>
                <w:szCs w:val="21"/>
                <w:highlight w:val="white"/>
              </w:rPr>
              <w:t xml:space="preserve">event </w:t>
            </w:r>
            <w:r w:rsidRPr="0054044D">
              <w:rPr>
                <w:color w:val="FF0000"/>
                <w:sz w:val="21"/>
                <w:szCs w:val="21"/>
                <w:highlight w:val="white"/>
              </w:rPr>
              <w:t xml:space="preserve">does not last more than </w:t>
            </w:r>
            <w:r w:rsidR="00CE61D8">
              <w:rPr>
                <w:color w:val="FF0000"/>
                <w:sz w:val="21"/>
                <w:szCs w:val="21"/>
                <w:highlight w:val="white"/>
              </w:rPr>
              <w:t>a day.</w:t>
            </w:r>
          </w:p>
          <w:p w:rsidR="00A16E7C" w:rsidRDefault="00A16E7C" w:rsidP="00A16E7C">
            <w:pPr>
              <w:pStyle w:val="ListParagraph"/>
              <w:numPr>
                <w:ilvl w:val="0"/>
                <w:numId w:val="1"/>
              </w:numPr>
              <w:spacing w:after="40"/>
              <w:rPr>
                <w:color w:val="FF0000"/>
                <w:sz w:val="21"/>
                <w:szCs w:val="21"/>
                <w:highlight w:val="white"/>
              </w:rPr>
            </w:pPr>
            <w:r w:rsidRPr="0054044D">
              <w:rPr>
                <w:color w:val="FF0000"/>
                <w:sz w:val="21"/>
                <w:szCs w:val="21"/>
                <w:highlight w:val="white"/>
              </w:rPr>
              <w:t>Demand Response</w:t>
            </w:r>
            <w:r>
              <w:rPr>
                <w:color w:val="FF0000"/>
                <w:sz w:val="21"/>
                <w:szCs w:val="21"/>
                <w:highlight w:val="white"/>
              </w:rPr>
              <w:t xml:space="preserve"> MRAs</w:t>
            </w:r>
            <w:r w:rsidRPr="0054044D">
              <w:rPr>
                <w:color w:val="FF0000"/>
                <w:sz w:val="21"/>
                <w:szCs w:val="21"/>
                <w:highlight w:val="white"/>
              </w:rPr>
              <w:t xml:space="preserve"> </w:t>
            </w:r>
            <w:r w:rsidR="008B4120">
              <w:rPr>
                <w:color w:val="FF0000"/>
                <w:sz w:val="21"/>
                <w:szCs w:val="21"/>
                <w:highlight w:val="white"/>
              </w:rPr>
              <w:t xml:space="preserve">may </w:t>
            </w:r>
            <w:r>
              <w:rPr>
                <w:color w:val="FF0000"/>
                <w:sz w:val="21"/>
                <w:szCs w:val="21"/>
                <w:highlight w:val="white"/>
              </w:rPr>
              <w:t xml:space="preserve">not </w:t>
            </w:r>
            <w:r w:rsidRPr="0054044D">
              <w:rPr>
                <w:color w:val="FF0000"/>
                <w:sz w:val="21"/>
                <w:szCs w:val="21"/>
                <w:highlight w:val="white"/>
              </w:rPr>
              <w:t xml:space="preserve">be deployed </w:t>
            </w:r>
            <w:r>
              <w:rPr>
                <w:color w:val="FF0000"/>
                <w:sz w:val="21"/>
                <w:szCs w:val="21"/>
                <w:highlight w:val="white"/>
              </w:rPr>
              <w:t xml:space="preserve">more than </w:t>
            </w:r>
            <w:r w:rsidR="008B4120">
              <w:rPr>
                <w:color w:val="FF0000"/>
                <w:sz w:val="21"/>
                <w:szCs w:val="21"/>
                <w:highlight w:val="white"/>
              </w:rPr>
              <w:t>once per</w:t>
            </w:r>
            <w:r w:rsidRPr="0054044D">
              <w:rPr>
                <w:color w:val="FF0000"/>
                <w:sz w:val="21"/>
                <w:szCs w:val="21"/>
                <w:highlight w:val="white"/>
              </w:rPr>
              <w:t xml:space="preserve"> day. </w:t>
            </w:r>
            <w:r>
              <w:rPr>
                <w:color w:val="FF0000"/>
                <w:sz w:val="21"/>
                <w:szCs w:val="21"/>
                <w:highlight w:val="white"/>
              </w:rPr>
              <w:t>Generation Resources may.</w:t>
            </w:r>
          </w:p>
          <w:p w:rsidR="008B4120" w:rsidRPr="0054044D" w:rsidRDefault="003A543C" w:rsidP="00A16E7C">
            <w:pPr>
              <w:pStyle w:val="ListParagraph"/>
              <w:numPr>
                <w:ilvl w:val="0"/>
                <w:numId w:val="1"/>
              </w:numPr>
              <w:spacing w:after="40"/>
              <w:rPr>
                <w:color w:val="FF0000"/>
                <w:sz w:val="21"/>
                <w:szCs w:val="21"/>
                <w:highlight w:val="white"/>
              </w:rPr>
            </w:pPr>
            <w:r>
              <w:rPr>
                <w:color w:val="FF0000"/>
                <w:sz w:val="21"/>
                <w:szCs w:val="21"/>
                <w:highlight w:val="white"/>
              </w:rPr>
              <w:t xml:space="preserve">MRA obligations end at </w:t>
            </w:r>
            <w:r w:rsidR="008B4120">
              <w:rPr>
                <w:color w:val="FF0000"/>
                <w:sz w:val="21"/>
                <w:szCs w:val="21"/>
                <w:highlight w:val="white"/>
              </w:rPr>
              <w:t>either the end of contracted hours or ERCOT’s release instruction, whichever comes earlier.</w:t>
            </w:r>
          </w:p>
          <w:p w:rsidR="006972F2" w:rsidRPr="0054044D" w:rsidRDefault="004441B2" w:rsidP="0054044D">
            <w:pPr>
              <w:pStyle w:val="ListParagraph"/>
              <w:numPr>
                <w:ilvl w:val="0"/>
                <w:numId w:val="1"/>
              </w:numPr>
              <w:spacing w:after="40"/>
              <w:rPr>
                <w:color w:val="FF0000"/>
                <w:sz w:val="21"/>
                <w:szCs w:val="21"/>
                <w:highlight w:val="white"/>
              </w:rPr>
            </w:pPr>
            <w:r w:rsidRPr="0054044D">
              <w:rPr>
                <w:color w:val="FF0000"/>
                <w:sz w:val="21"/>
                <w:szCs w:val="21"/>
                <w:highlight w:val="white"/>
              </w:rPr>
              <w:t xml:space="preserve">A QSE can offer MRA for hours that its Resource has ERS </w:t>
            </w:r>
            <w:r w:rsidR="00CE61D8" w:rsidRPr="0054044D">
              <w:rPr>
                <w:color w:val="FF0000"/>
                <w:sz w:val="21"/>
                <w:szCs w:val="21"/>
                <w:highlight w:val="white"/>
              </w:rPr>
              <w:t>obligations</w:t>
            </w:r>
            <w:r w:rsidR="00F8635A">
              <w:rPr>
                <w:color w:val="FF0000"/>
                <w:sz w:val="21"/>
                <w:szCs w:val="21"/>
                <w:highlight w:val="white"/>
              </w:rPr>
              <w:t>.  If awarded MRA, the R</w:t>
            </w:r>
            <w:r w:rsidRPr="0054044D">
              <w:rPr>
                <w:color w:val="FF0000"/>
                <w:sz w:val="21"/>
                <w:szCs w:val="21"/>
                <w:highlight w:val="white"/>
              </w:rPr>
              <w:t>esource will be excused of its ERS obligations for those hours (NPRR846)</w:t>
            </w:r>
            <w:r w:rsidR="00CE61D8">
              <w:rPr>
                <w:color w:val="FF0000"/>
                <w:sz w:val="21"/>
                <w:szCs w:val="21"/>
                <w:highlight w:val="white"/>
              </w:rPr>
              <w:t>.</w:t>
            </w:r>
          </w:p>
          <w:p w:rsidR="006972F2" w:rsidRPr="0054044D" w:rsidRDefault="004441B2" w:rsidP="0054044D">
            <w:pPr>
              <w:pStyle w:val="ListParagraph"/>
              <w:numPr>
                <w:ilvl w:val="0"/>
                <w:numId w:val="1"/>
              </w:numPr>
              <w:spacing w:after="40"/>
              <w:rPr>
                <w:color w:val="FF0000"/>
                <w:sz w:val="21"/>
                <w:szCs w:val="21"/>
                <w:highlight w:val="white"/>
              </w:rPr>
            </w:pPr>
            <w:r w:rsidRPr="0054044D">
              <w:rPr>
                <w:color w:val="FF0000"/>
                <w:sz w:val="21"/>
                <w:szCs w:val="21"/>
                <w:highlight w:val="white"/>
              </w:rPr>
              <w:t>Substitutions are not in the MRA contract.  Substitutions have to be like the original MRA.  Reliability benefit must be greater than or equal to the original MRA.</w:t>
            </w:r>
          </w:p>
          <w:p w:rsidR="006972F2" w:rsidRDefault="004441B2" w:rsidP="0054044D">
            <w:pPr>
              <w:pStyle w:val="ListParagraph"/>
              <w:numPr>
                <w:ilvl w:val="0"/>
                <w:numId w:val="1"/>
              </w:numPr>
              <w:spacing w:after="40"/>
              <w:rPr>
                <w:color w:val="FF0000"/>
                <w:sz w:val="21"/>
                <w:szCs w:val="21"/>
                <w:highlight w:val="white"/>
              </w:rPr>
            </w:pPr>
            <w:r w:rsidRPr="0054044D">
              <w:rPr>
                <w:color w:val="FF0000"/>
                <w:sz w:val="21"/>
                <w:szCs w:val="21"/>
                <w:highlight w:val="white"/>
              </w:rPr>
              <w:t>Generation Resources cannot have substitutions.</w:t>
            </w:r>
          </w:p>
          <w:p w:rsidR="00EE4010" w:rsidRPr="0054044D" w:rsidRDefault="00EE4010" w:rsidP="0054044D">
            <w:pPr>
              <w:pStyle w:val="ListParagraph"/>
              <w:numPr>
                <w:ilvl w:val="0"/>
                <w:numId w:val="1"/>
              </w:numPr>
              <w:spacing w:after="40"/>
              <w:rPr>
                <w:color w:val="FF0000"/>
                <w:sz w:val="21"/>
                <w:szCs w:val="21"/>
                <w:highlight w:val="white"/>
              </w:rPr>
            </w:pPr>
            <w:r>
              <w:rPr>
                <w:color w:val="FF0000"/>
                <w:sz w:val="21"/>
                <w:szCs w:val="21"/>
                <w:highlight w:val="white"/>
              </w:rPr>
              <w:t>Registered Resource QSE is MRA QSE.  If in NOICE territory, may have different QSE.</w:t>
            </w:r>
          </w:p>
          <w:p w:rsidR="006972F2" w:rsidRPr="0054044D" w:rsidRDefault="004441B2" w:rsidP="0054044D">
            <w:pPr>
              <w:pStyle w:val="ListParagraph"/>
              <w:numPr>
                <w:ilvl w:val="0"/>
                <w:numId w:val="1"/>
              </w:numPr>
              <w:spacing w:after="40"/>
              <w:rPr>
                <w:color w:val="FF0000"/>
                <w:sz w:val="21"/>
                <w:szCs w:val="21"/>
                <w:highlight w:val="white"/>
              </w:rPr>
            </w:pPr>
            <w:r w:rsidRPr="0054044D">
              <w:rPr>
                <w:color w:val="FF0000"/>
                <w:sz w:val="21"/>
                <w:szCs w:val="21"/>
                <w:highlight w:val="white"/>
              </w:rPr>
              <w:t>ERCOT will work with MSWG to provide more clarification language later on</w:t>
            </w:r>
            <w:r w:rsidR="00C43EDF">
              <w:rPr>
                <w:color w:val="FF0000"/>
                <w:sz w:val="21"/>
                <w:szCs w:val="21"/>
                <w:highlight w:val="white"/>
              </w:rPr>
              <w:t xml:space="preserve"> </w:t>
            </w:r>
            <w:r w:rsidR="00C43EDF" w:rsidRPr="0054044D">
              <w:rPr>
                <w:color w:val="FF0000"/>
                <w:sz w:val="21"/>
                <w:szCs w:val="21"/>
                <w:highlight w:val="white"/>
              </w:rPr>
              <w:t>Generator Site Shift Factor</w:t>
            </w:r>
            <w:r w:rsidR="00C43EDF">
              <w:rPr>
                <w:color w:val="FF0000"/>
                <w:sz w:val="21"/>
                <w:szCs w:val="21"/>
                <w:highlight w:val="white"/>
              </w:rPr>
              <w:t>.</w:t>
            </w:r>
          </w:p>
          <w:p w:rsidR="006972F2" w:rsidRPr="0054044D" w:rsidRDefault="00CE61D8" w:rsidP="0054044D">
            <w:pPr>
              <w:pStyle w:val="ListParagraph"/>
              <w:numPr>
                <w:ilvl w:val="0"/>
                <w:numId w:val="1"/>
              </w:numPr>
              <w:spacing w:after="40"/>
              <w:rPr>
                <w:color w:val="FF0000"/>
                <w:sz w:val="21"/>
                <w:szCs w:val="21"/>
                <w:highlight w:val="white"/>
              </w:rPr>
            </w:pPr>
            <w:r>
              <w:rPr>
                <w:color w:val="FF0000"/>
                <w:sz w:val="21"/>
                <w:szCs w:val="21"/>
                <w:highlight w:val="white"/>
              </w:rPr>
              <w:t>P</w:t>
            </w:r>
            <w:r w:rsidR="004441B2" w:rsidRPr="0054044D">
              <w:rPr>
                <w:color w:val="FF0000"/>
                <w:sz w:val="21"/>
                <w:szCs w:val="21"/>
                <w:highlight w:val="white"/>
              </w:rPr>
              <w:t>erformance evaluation</w:t>
            </w:r>
            <w:r>
              <w:rPr>
                <w:color w:val="FF0000"/>
                <w:sz w:val="21"/>
                <w:szCs w:val="21"/>
                <w:highlight w:val="white"/>
              </w:rPr>
              <w:t xml:space="preserve"> report is provided no later than 45 days after an event.</w:t>
            </w:r>
            <w:r w:rsidR="004441B2" w:rsidRPr="0054044D">
              <w:rPr>
                <w:color w:val="FF0000"/>
                <w:sz w:val="21"/>
                <w:szCs w:val="21"/>
                <w:highlight w:val="white"/>
              </w:rPr>
              <w:t xml:space="preserve"> </w:t>
            </w:r>
            <w:r>
              <w:rPr>
                <w:color w:val="FF0000"/>
                <w:sz w:val="21"/>
                <w:szCs w:val="21"/>
                <w:highlight w:val="white"/>
              </w:rPr>
              <w:t xml:space="preserve">MRAARF is </w:t>
            </w:r>
            <w:r w:rsidR="00C43EDF">
              <w:rPr>
                <w:color w:val="FF0000"/>
                <w:sz w:val="21"/>
                <w:szCs w:val="21"/>
                <w:highlight w:val="white"/>
              </w:rPr>
              <w:t>one</w:t>
            </w:r>
            <w:r>
              <w:rPr>
                <w:color w:val="FF0000"/>
                <w:sz w:val="21"/>
                <w:szCs w:val="21"/>
                <w:highlight w:val="white"/>
              </w:rPr>
              <w:t xml:space="preserve"> for the Initial Settlement.  C</w:t>
            </w:r>
            <w:r w:rsidR="004441B2" w:rsidRPr="0054044D">
              <w:rPr>
                <w:color w:val="FF0000"/>
                <w:sz w:val="21"/>
                <w:szCs w:val="21"/>
                <w:highlight w:val="white"/>
              </w:rPr>
              <w:t xml:space="preserve">orrections of meter data may make </w:t>
            </w:r>
            <w:r>
              <w:rPr>
                <w:color w:val="FF0000"/>
                <w:sz w:val="21"/>
                <w:szCs w:val="21"/>
                <w:highlight w:val="white"/>
              </w:rPr>
              <w:t>to the Final Settlement</w:t>
            </w:r>
            <w:r w:rsidR="004441B2" w:rsidRPr="0054044D">
              <w:rPr>
                <w:color w:val="FF0000"/>
                <w:sz w:val="21"/>
                <w:szCs w:val="21"/>
                <w:highlight w:val="white"/>
              </w:rPr>
              <w:t>.</w:t>
            </w:r>
          </w:p>
          <w:p w:rsidR="006972F2" w:rsidRPr="0054044D" w:rsidRDefault="000E47D4" w:rsidP="0054044D">
            <w:pPr>
              <w:pStyle w:val="ListParagraph"/>
              <w:numPr>
                <w:ilvl w:val="0"/>
                <w:numId w:val="1"/>
              </w:numPr>
              <w:spacing w:after="40"/>
              <w:rPr>
                <w:color w:val="FF0000"/>
                <w:sz w:val="21"/>
                <w:szCs w:val="21"/>
                <w:highlight w:val="white"/>
              </w:rPr>
            </w:pPr>
            <w:r>
              <w:rPr>
                <w:color w:val="FF0000"/>
                <w:sz w:val="21"/>
                <w:szCs w:val="21"/>
                <w:highlight w:val="white"/>
              </w:rPr>
              <w:t>Th</w:t>
            </w:r>
            <w:r w:rsidR="004441B2" w:rsidRPr="0054044D">
              <w:rPr>
                <w:color w:val="FF0000"/>
                <w:sz w:val="21"/>
                <w:szCs w:val="21"/>
                <w:highlight w:val="white"/>
              </w:rPr>
              <w:t>e squaring will not be in the settlement matrix. (MRAIPF be reduced for an MRA&lt;0.95)</w:t>
            </w:r>
          </w:p>
          <w:p w:rsidR="006972F2" w:rsidRPr="0054044D" w:rsidRDefault="004441B2" w:rsidP="0054044D">
            <w:pPr>
              <w:pStyle w:val="ListParagraph"/>
              <w:numPr>
                <w:ilvl w:val="0"/>
                <w:numId w:val="1"/>
              </w:numPr>
              <w:spacing w:after="40"/>
              <w:rPr>
                <w:color w:val="FF0000"/>
                <w:sz w:val="21"/>
                <w:szCs w:val="21"/>
                <w:highlight w:val="white"/>
              </w:rPr>
            </w:pPr>
            <w:r w:rsidRPr="0054044D">
              <w:rPr>
                <w:color w:val="FF0000"/>
                <w:sz w:val="21"/>
                <w:szCs w:val="21"/>
                <w:highlight w:val="white"/>
              </w:rPr>
              <w:t>Co-located DR and OG will be deployed together.</w:t>
            </w:r>
          </w:p>
          <w:p w:rsidR="0054044D" w:rsidRPr="00E82592" w:rsidRDefault="0054044D">
            <w:pPr>
              <w:spacing w:after="40"/>
              <w:rPr>
                <w:color w:val="FF0000"/>
                <w:sz w:val="21"/>
                <w:szCs w:val="21"/>
                <w:highlight w:val="white"/>
              </w:rPr>
            </w:pPr>
            <w:r>
              <w:rPr>
                <w:color w:val="FF0000"/>
                <w:sz w:val="21"/>
                <w:szCs w:val="21"/>
                <w:highlight w:val="white"/>
              </w:rPr>
              <w:t xml:space="preserve">MSWG will </w:t>
            </w:r>
            <w:r w:rsidR="004A09B5">
              <w:rPr>
                <w:color w:val="FF0000"/>
                <w:sz w:val="21"/>
                <w:szCs w:val="21"/>
                <w:highlight w:val="white"/>
              </w:rPr>
              <w:t xml:space="preserve">revise its Questions/Comments document </w:t>
            </w:r>
            <w:r w:rsidR="001E7E04">
              <w:rPr>
                <w:color w:val="FF0000"/>
                <w:sz w:val="21"/>
                <w:szCs w:val="21"/>
                <w:highlight w:val="white"/>
              </w:rPr>
              <w:t xml:space="preserve">(Clarify </w:t>
            </w:r>
            <w:r w:rsidR="00C43EDF">
              <w:rPr>
                <w:color w:val="FF0000"/>
                <w:sz w:val="21"/>
                <w:szCs w:val="21"/>
                <w:highlight w:val="white"/>
              </w:rPr>
              <w:t>885NPRR MSWG.docx</w:t>
            </w:r>
            <w:r w:rsidR="000E47D4">
              <w:rPr>
                <w:color w:val="FF0000"/>
                <w:sz w:val="21"/>
                <w:szCs w:val="21"/>
                <w:highlight w:val="white"/>
              </w:rPr>
              <w:t>) based on the clarifications made</w:t>
            </w:r>
            <w:r w:rsidR="004A09B5">
              <w:rPr>
                <w:color w:val="FF0000"/>
                <w:sz w:val="21"/>
                <w:szCs w:val="21"/>
                <w:highlight w:val="white"/>
              </w:rPr>
              <w:t xml:space="preserve"> and continue the deep dive on MRA in the next MSWG meeting.</w:t>
            </w:r>
          </w:p>
          <w:p w:rsidR="006972F2" w:rsidRPr="00E82592" w:rsidRDefault="006972F2">
            <w:pPr>
              <w:spacing w:after="40"/>
              <w:rPr>
                <w:color w:val="FF0000"/>
                <w:sz w:val="21"/>
                <w:szCs w:val="21"/>
                <w:highlight w:val="white"/>
              </w:rPr>
            </w:pP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4.</w:t>
            </w:r>
          </w:p>
        </w:tc>
        <w:tc>
          <w:tcPr>
            <w:tcW w:w="9150" w:type="dxa"/>
            <w:tcBorders>
              <w:top w:val="nil"/>
              <w:left w:val="nil"/>
              <w:bottom w:val="nil"/>
              <w:right w:val="nil"/>
            </w:tcBorders>
            <w:tcMar>
              <w:top w:w="100" w:type="dxa"/>
              <w:left w:w="100" w:type="dxa"/>
              <w:bottom w:w="0" w:type="dxa"/>
              <w:right w:w="220" w:type="dxa"/>
            </w:tcMar>
          </w:tcPr>
          <w:p w:rsidR="006972F2" w:rsidRPr="00E82592" w:rsidRDefault="004441B2">
            <w:pPr>
              <w:spacing w:after="40"/>
              <w:rPr>
                <w:color w:val="FF0000"/>
                <w:sz w:val="21"/>
                <w:szCs w:val="21"/>
                <w:highlight w:val="white"/>
              </w:rPr>
            </w:pPr>
            <w:r w:rsidRPr="00E82592">
              <w:rPr>
                <w:color w:val="5B6770"/>
                <w:sz w:val="21"/>
                <w:szCs w:val="21"/>
                <w:highlight w:val="white"/>
              </w:rPr>
              <w:t>b. NPRR885 MRA Question List</w:t>
            </w:r>
            <w:r w:rsidRPr="00E82592">
              <w:rPr>
                <w:color w:val="FF0000"/>
                <w:sz w:val="21"/>
                <w:szCs w:val="21"/>
                <w:highlight w:val="white"/>
              </w:rPr>
              <w:t xml:space="preserve">  Will delay it to June MSWG meeting</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5.</w:t>
            </w:r>
          </w:p>
        </w:tc>
        <w:tc>
          <w:tcPr>
            <w:tcW w:w="9150" w:type="dxa"/>
            <w:tcBorders>
              <w:top w:val="nil"/>
              <w:left w:val="nil"/>
              <w:bottom w:val="nil"/>
              <w:right w:val="nil"/>
            </w:tcBorders>
            <w:tcMar>
              <w:top w:w="100" w:type="dxa"/>
              <w:left w:w="100" w:type="dxa"/>
              <w:bottom w:w="0" w:type="dxa"/>
              <w:right w:w="220" w:type="dxa"/>
            </w:tcMar>
          </w:tcPr>
          <w:p w:rsidR="006972F2" w:rsidRPr="00E82592" w:rsidRDefault="004441B2" w:rsidP="00291EC3">
            <w:pPr>
              <w:spacing w:after="40"/>
              <w:rPr>
                <w:color w:val="FF0000"/>
                <w:sz w:val="21"/>
                <w:szCs w:val="21"/>
                <w:highlight w:val="white"/>
              </w:rPr>
            </w:pPr>
            <w:r w:rsidRPr="00E82592">
              <w:rPr>
                <w:color w:val="5B6770"/>
                <w:sz w:val="21"/>
                <w:szCs w:val="21"/>
                <w:highlight w:val="white"/>
              </w:rPr>
              <w:t xml:space="preserve">Settlement Stability </w:t>
            </w:r>
            <w:proofErr w:type="gramStart"/>
            <w:r w:rsidRPr="00E82592">
              <w:rPr>
                <w:color w:val="5B6770"/>
                <w:sz w:val="21"/>
                <w:szCs w:val="21"/>
                <w:highlight w:val="white"/>
              </w:rPr>
              <w:t xml:space="preserve">Report  </w:t>
            </w:r>
            <w:r w:rsidRPr="00E82592">
              <w:rPr>
                <w:color w:val="FF0000"/>
                <w:sz w:val="21"/>
                <w:szCs w:val="21"/>
                <w:highlight w:val="white"/>
              </w:rPr>
              <w:t>100</w:t>
            </w:r>
            <w:proofErr w:type="gramEnd"/>
            <w:r w:rsidRPr="00E82592">
              <w:rPr>
                <w:color w:val="FF0000"/>
                <w:sz w:val="21"/>
                <w:szCs w:val="21"/>
                <w:highlight w:val="white"/>
              </w:rPr>
              <w:t xml:space="preserve">% disputes resolved timely.  All settlements stability evaluations look normal.  CRR Balancing Account is back to $10 million since Feb 2019.  A </w:t>
            </w:r>
            <w:r w:rsidRPr="00E82592">
              <w:rPr>
                <w:color w:val="FF0000"/>
                <w:sz w:val="21"/>
                <w:szCs w:val="21"/>
                <w:highlight w:val="white"/>
              </w:rPr>
              <w:lastRenderedPageBreak/>
              <w:t xml:space="preserve">special slide in </w:t>
            </w:r>
            <w:r w:rsidR="00291EC3">
              <w:rPr>
                <w:color w:val="FF0000"/>
                <w:sz w:val="21"/>
                <w:szCs w:val="21"/>
                <w:highlight w:val="white"/>
              </w:rPr>
              <w:t>TAC ERCOT</w:t>
            </w:r>
            <w:r w:rsidRPr="00E82592">
              <w:rPr>
                <w:color w:val="FF0000"/>
                <w:sz w:val="21"/>
                <w:szCs w:val="21"/>
                <w:highlight w:val="white"/>
              </w:rPr>
              <w:t xml:space="preserve"> report</w:t>
            </w:r>
            <w:r w:rsidR="00291EC3">
              <w:rPr>
                <w:color w:val="FF0000"/>
                <w:sz w:val="21"/>
                <w:szCs w:val="21"/>
                <w:highlight w:val="white"/>
              </w:rPr>
              <w:t>s</w:t>
            </w:r>
            <w:r w:rsidRPr="00E82592">
              <w:rPr>
                <w:color w:val="FF0000"/>
                <w:sz w:val="21"/>
                <w:szCs w:val="21"/>
                <w:highlight w:val="white"/>
              </w:rPr>
              <w:t xml:space="preserve"> (Monthly </w:t>
            </w:r>
            <w:r w:rsidR="00291EC3">
              <w:rPr>
                <w:color w:val="FF0000"/>
                <w:sz w:val="21"/>
                <w:szCs w:val="21"/>
                <w:highlight w:val="white"/>
              </w:rPr>
              <w:t xml:space="preserve">Board </w:t>
            </w:r>
            <w:r w:rsidRPr="00E82592">
              <w:rPr>
                <w:color w:val="FF0000"/>
                <w:sz w:val="21"/>
                <w:szCs w:val="21"/>
                <w:highlight w:val="white"/>
              </w:rPr>
              <w:t>Operations Report</w:t>
            </w:r>
            <w:r w:rsidR="00291EC3">
              <w:rPr>
                <w:color w:val="FF0000"/>
                <w:sz w:val="21"/>
                <w:szCs w:val="21"/>
                <w:highlight w:val="white"/>
              </w:rPr>
              <w:t xml:space="preserve"> Update</w:t>
            </w:r>
            <w:r w:rsidRPr="00E82592">
              <w:rPr>
                <w:color w:val="FF0000"/>
                <w:sz w:val="21"/>
                <w:szCs w:val="21"/>
                <w:highlight w:val="white"/>
              </w:rPr>
              <w:t>) has th</w:t>
            </w:r>
            <w:r w:rsidR="00291EC3">
              <w:rPr>
                <w:color w:val="FF0000"/>
                <w:sz w:val="21"/>
                <w:szCs w:val="21"/>
                <w:highlight w:val="white"/>
              </w:rPr>
              <w:t>e CRR Balancing Account balance history.</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jc w:val="right"/>
              <w:rPr>
                <w:color w:val="5B6770"/>
                <w:sz w:val="21"/>
                <w:szCs w:val="21"/>
                <w:highlight w:val="white"/>
              </w:rPr>
            </w:pPr>
            <w:r w:rsidRPr="00E82592">
              <w:rPr>
                <w:color w:val="5B6770"/>
                <w:sz w:val="21"/>
                <w:szCs w:val="21"/>
                <w:highlight w:val="white"/>
              </w:rPr>
              <w:lastRenderedPageBreak/>
              <w:t xml:space="preserve"> </w:t>
            </w:r>
          </w:p>
        </w:tc>
        <w:tc>
          <w:tcPr>
            <w:tcW w:w="9150" w:type="dxa"/>
            <w:tcBorders>
              <w:top w:val="nil"/>
              <w:left w:val="nil"/>
              <w:bottom w:val="nil"/>
              <w:right w:val="nil"/>
            </w:tcBorders>
            <w:tcMar>
              <w:top w:w="100" w:type="dxa"/>
              <w:left w:w="100" w:type="dxa"/>
              <w:bottom w:w="0" w:type="dxa"/>
              <w:right w:w="220" w:type="dxa"/>
            </w:tcMar>
          </w:tcPr>
          <w:p w:rsidR="006972F2" w:rsidRPr="00E82592" w:rsidRDefault="004441B2">
            <w:pPr>
              <w:spacing w:after="40"/>
              <w:rPr>
                <w:color w:val="5B6770"/>
                <w:sz w:val="21"/>
                <w:szCs w:val="21"/>
                <w:highlight w:val="white"/>
              </w:rPr>
            </w:pPr>
            <w:r w:rsidRPr="00E82592">
              <w:rPr>
                <w:color w:val="5B6770"/>
                <w:sz w:val="21"/>
                <w:szCs w:val="21"/>
                <w:highlight w:val="white"/>
              </w:rPr>
              <w:t>Possible lunch break</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6.</w:t>
            </w:r>
          </w:p>
        </w:tc>
        <w:tc>
          <w:tcPr>
            <w:tcW w:w="9150" w:type="dxa"/>
            <w:tcBorders>
              <w:top w:val="nil"/>
              <w:left w:val="nil"/>
              <w:bottom w:val="nil"/>
              <w:right w:val="nil"/>
            </w:tcBorders>
            <w:tcMar>
              <w:top w:w="100" w:type="dxa"/>
              <w:left w:w="100" w:type="dxa"/>
              <w:bottom w:w="0" w:type="dxa"/>
              <w:right w:w="220" w:type="dxa"/>
            </w:tcMar>
          </w:tcPr>
          <w:p w:rsidR="00FD7ED2" w:rsidRDefault="004441B2">
            <w:pPr>
              <w:spacing w:after="40"/>
              <w:rPr>
                <w:color w:val="5B6770"/>
                <w:sz w:val="21"/>
                <w:szCs w:val="21"/>
                <w:highlight w:val="white"/>
              </w:rPr>
            </w:pPr>
            <w:r w:rsidRPr="00E82592">
              <w:rPr>
                <w:color w:val="5B6770"/>
                <w:sz w:val="21"/>
                <w:szCs w:val="21"/>
                <w:highlight w:val="white"/>
              </w:rPr>
              <w:t xml:space="preserve">2019 Release Targets with Settlement Impacts May &amp; June  </w:t>
            </w:r>
          </w:p>
          <w:p w:rsidR="00FD7ED2" w:rsidRDefault="004441B2" w:rsidP="00FD7ED2">
            <w:pPr>
              <w:pStyle w:val="ListParagraph"/>
              <w:numPr>
                <w:ilvl w:val="0"/>
                <w:numId w:val="2"/>
              </w:numPr>
              <w:spacing w:after="40"/>
              <w:rPr>
                <w:color w:val="FF0000"/>
                <w:sz w:val="21"/>
                <w:szCs w:val="21"/>
                <w:highlight w:val="white"/>
              </w:rPr>
            </w:pPr>
            <w:r w:rsidRPr="00FD7ED2">
              <w:rPr>
                <w:color w:val="FF0000"/>
                <w:sz w:val="21"/>
                <w:szCs w:val="21"/>
                <w:highlight w:val="white"/>
              </w:rPr>
              <w:t>NP</w:t>
            </w:r>
            <w:r w:rsidR="005767D9">
              <w:rPr>
                <w:color w:val="FF0000"/>
                <w:sz w:val="21"/>
                <w:szCs w:val="21"/>
                <w:highlight w:val="white"/>
              </w:rPr>
              <w:t xml:space="preserve">RR910 – </w:t>
            </w:r>
            <w:r w:rsidR="009A0BE6">
              <w:rPr>
                <w:color w:val="FF0000"/>
                <w:sz w:val="21"/>
                <w:szCs w:val="21"/>
                <w:highlight w:val="white"/>
              </w:rPr>
              <w:t>C</w:t>
            </w:r>
            <w:r w:rsidR="005767D9">
              <w:rPr>
                <w:color w:val="FF0000"/>
                <w:sz w:val="21"/>
                <w:szCs w:val="21"/>
                <w:highlight w:val="white"/>
              </w:rPr>
              <w:t>larify treatment of RUC Resource that has a DAM Three-Part Supply Award.  No</w:t>
            </w:r>
            <w:r w:rsidR="00FD7ED2">
              <w:rPr>
                <w:color w:val="FF0000"/>
                <w:sz w:val="21"/>
                <w:szCs w:val="21"/>
                <w:highlight w:val="white"/>
              </w:rPr>
              <w:t xml:space="preserve"> shadow impact</w:t>
            </w:r>
            <w:r w:rsidR="005767D9">
              <w:rPr>
                <w:color w:val="FF0000"/>
                <w:sz w:val="21"/>
                <w:szCs w:val="21"/>
                <w:highlight w:val="white"/>
              </w:rPr>
              <w:t>.</w:t>
            </w:r>
          </w:p>
          <w:p w:rsidR="00FD7ED2" w:rsidRDefault="00FD7ED2" w:rsidP="00FD7ED2">
            <w:pPr>
              <w:pStyle w:val="ListParagraph"/>
              <w:numPr>
                <w:ilvl w:val="0"/>
                <w:numId w:val="2"/>
              </w:numPr>
              <w:spacing w:after="40"/>
              <w:rPr>
                <w:color w:val="FF0000"/>
                <w:sz w:val="21"/>
                <w:szCs w:val="21"/>
                <w:highlight w:val="white"/>
              </w:rPr>
            </w:pPr>
            <w:r>
              <w:rPr>
                <w:color w:val="FF0000"/>
                <w:sz w:val="21"/>
                <w:szCs w:val="21"/>
                <w:highlight w:val="white"/>
              </w:rPr>
              <w:t>NPRR</w:t>
            </w:r>
            <w:r w:rsidR="004441B2" w:rsidRPr="00FD7ED2">
              <w:rPr>
                <w:color w:val="FF0000"/>
                <w:sz w:val="21"/>
                <w:szCs w:val="21"/>
                <w:highlight w:val="white"/>
              </w:rPr>
              <w:t>912</w:t>
            </w:r>
            <w:r w:rsidR="00483A4F">
              <w:rPr>
                <w:color w:val="FF0000"/>
                <w:sz w:val="21"/>
                <w:szCs w:val="21"/>
                <w:highlight w:val="white"/>
              </w:rPr>
              <w:t xml:space="preserve"> </w:t>
            </w:r>
            <w:r w:rsidR="009A0BE6">
              <w:rPr>
                <w:color w:val="FF0000"/>
                <w:sz w:val="21"/>
                <w:szCs w:val="21"/>
                <w:highlight w:val="white"/>
              </w:rPr>
              <w:t>–</w:t>
            </w:r>
            <w:r w:rsidR="004441B2" w:rsidRPr="00FD7ED2">
              <w:rPr>
                <w:color w:val="FF0000"/>
                <w:sz w:val="21"/>
                <w:szCs w:val="21"/>
                <w:highlight w:val="white"/>
              </w:rPr>
              <w:t xml:space="preserve"> </w:t>
            </w:r>
            <w:r w:rsidR="009A0BE6">
              <w:rPr>
                <w:color w:val="FF0000"/>
                <w:sz w:val="21"/>
                <w:szCs w:val="21"/>
                <w:highlight w:val="white"/>
              </w:rPr>
              <w:t xml:space="preserve">Settlement of </w:t>
            </w:r>
            <w:r w:rsidR="004441B2" w:rsidRPr="00FD7ED2">
              <w:rPr>
                <w:color w:val="FF0000"/>
                <w:sz w:val="21"/>
                <w:szCs w:val="21"/>
                <w:highlight w:val="white"/>
              </w:rPr>
              <w:t>Switchable</w:t>
            </w:r>
            <w:r w:rsidR="009A0BE6">
              <w:rPr>
                <w:color w:val="FF0000"/>
                <w:sz w:val="21"/>
                <w:szCs w:val="21"/>
                <w:highlight w:val="white"/>
              </w:rPr>
              <w:t xml:space="preserve"> GR instructed to switch to ERCOT.</w:t>
            </w:r>
            <w:r w:rsidR="004441B2" w:rsidRPr="00FD7ED2">
              <w:rPr>
                <w:color w:val="FF0000"/>
                <w:sz w:val="21"/>
                <w:szCs w:val="21"/>
                <w:highlight w:val="white"/>
              </w:rPr>
              <w:t xml:space="preserve"> </w:t>
            </w:r>
            <w:r w:rsidR="009A0BE6">
              <w:rPr>
                <w:color w:val="FF0000"/>
                <w:sz w:val="21"/>
                <w:szCs w:val="21"/>
                <w:highlight w:val="white"/>
              </w:rPr>
              <w:t>Possibly</w:t>
            </w:r>
            <w:r w:rsidR="004441B2" w:rsidRPr="00FD7ED2">
              <w:rPr>
                <w:color w:val="FF0000"/>
                <w:sz w:val="21"/>
                <w:szCs w:val="21"/>
                <w:highlight w:val="white"/>
              </w:rPr>
              <w:t xml:space="preserve"> no shado</w:t>
            </w:r>
            <w:r>
              <w:rPr>
                <w:color w:val="FF0000"/>
                <w:sz w:val="21"/>
                <w:szCs w:val="21"/>
                <w:highlight w:val="white"/>
              </w:rPr>
              <w:t>w impact</w:t>
            </w:r>
          </w:p>
          <w:p w:rsidR="00FD7ED2" w:rsidRDefault="00FD7ED2" w:rsidP="00FD7ED2">
            <w:pPr>
              <w:pStyle w:val="ListParagraph"/>
              <w:numPr>
                <w:ilvl w:val="0"/>
                <w:numId w:val="2"/>
              </w:numPr>
              <w:spacing w:after="40"/>
              <w:rPr>
                <w:color w:val="FF0000"/>
                <w:sz w:val="21"/>
                <w:szCs w:val="21"/>
                <w:highlight w:val="white"/>
              </w:rPr>
            </w:pPr>
            <w:r>
              <w:rPr>
                <w:color w:val="FF0000"/>
                <w:sz w:val="21"/>
                <w:szCs w:val="21"/>
                <w:highlight w:val="white"/>
              </w:rPr>
              <w:t>NPRR</w:t>
            </w:r>
            <w:r w:rsidR="004441B2" w:rsidRPr="00FD7ED2">
              <w:rPr>
                <w:color w:val="FF0000"/>
                <w:sz w:val="21"/>
                <w:szCs w:val="21"/>
                <w:highlight w:val="white"/>
              </w:rPr>
              <w:t>821</w:t>
            </w:r>
            <w:r w:rsidR="00483A4F">
              <w:rPr>
                <w:color w:val="FF0000"/>
                <w:sz w:val="21"/>
                <w:szCs w:val="21"/>
                <w:highlight w:val="white"/>
              </w:rPr>
              <w:t xml:space="preserve"> </w:t>
            </w:r>
            <w:r w:rsidR="008E75FC">
              <w:rPr>
                <w:color w:val="FF0000"/>
                <w:sz w:val="21"/>
                <w:szCs w:val="21"/>
                <w:highlight w:val="white"/>
              </w:rPr>
              <w:t>–</w:t>
            </w:r>
            <w:r w:rsidR="004441B2" w:rsidRPr="00FD7ED2">
              <w:rPr>
                <w:color w:val="FF0000"/>
                <w:sz w:val="21"/>
                <w:szCs w:val="21"/>
                <w:highlight w:val="white"/>
              </w:rPr>
              <w:t xml:space="preserve"> </w:t>
            </w:r>
            <w:r w:rsidR="008E75FC">
              <w:rPr>
                <w:color w:val="FF0000"/>
                <w:sz w:val="21"/>
                <w:szCs w:val="21"/>
                <w:highlight w:val="white"/>
              </w:rPr>
              <w:t xml:space="preserve">Elimination of CRR Deration process for Resource Node to Hub or Load Zone CRRs.  </w:t>
            </w:r>
            <w:r w:rsidR="00E10638">
              <w:rPr>
                <w:color w:val="FF0000"/>
                <w:sz w:val="21"/>
                <w:szCs w:val="21"/>
                <w:highlight w:val="white"/>
              </w:rPr>
              <w:t>Calculation impact.</w:t>
            </w:r>
          </w:p>
          <w:p w:rsidR="00FD7ED2" w:rsidRDefault="00FD7ED2" w:rsidP="00FD7ED2">
            <w:pPr>
              <w:pStyle w:val="ListParagraph"/>
              <w:numPr>
                <w:ilvl w:val="0"/>
                <w:numId w:val="2"/>
              </w:numPr>
              <w:spacing w:after="40"/>
              <w:rPr>
                <w:color w:val="FF0000"/>
                <w:sz w:val="21"/>
                <w:szCs w:val="21"/>
                <w:highlight w:val="white"/>
              </w:rPr>
            </w:pPr>
            <w:r>
              <w:rPr>
                <w:color w:val="FF0000"/>
                <w:sz w:val="21"/>
                <w:szCs w:val="21"/>
                <w:highlight w:val="white"/>
              </w:rPr>
              <w:t>NPRR</w:t>
            </w:r>
            <w:r w:rsidR="004441B2" w:rsidRPr="00FD7ED2">
              <w:rPr>
                <w:color w:val="FF0000"/>
                <w:sz w:val="21"/>
                <w:szCs w:val="21"/>
                <w:highlight w:val="white"/>
              </w:rPr>
              <w:t xml:space="preserve">887 </w:t>
            </w:r>
            <w:r w:rsidR="00503A01">
              <w:rPr>
                <w:color w:val="FF0000"/>
                <w:sz w:val="21"/>
                <w:szCs w:val="21"/>
                <w:highlight w:val="white"/>
              </w:rPr>
              <w:t>–</w:t>
            </w:r>
            <w:r w:rsidR="004441B2" w:rsidRPr="00FD7ED2">
              <w:rPr>
                <w:color w:val="FF0000"/>
                <w:sz w:val="21"/>
                <w:szCs w:val="21"/>
                <w:highlight w:val="white"/>
              </w:rPr>
              <w:t xml:space="preserve"> </w:t>
            </w:r>
            <w:r w:rsidR="00503A01">
              <w:rPr>
                <w:color w:val="FF0000"/>
                <w:sz w:val="21"/>
                <w:szCs w:val="21"/>
                <w:highlight w:val="white"/>
              </w:rPr>
              <w:t xml:space="preserve">Monthly posting of default uplift </w:t>
            </w:r>
            <w:r w:rsidR="004441B2" w:rsidRPr="00FD7ED2">
              <w:rPr>
                <w:color w:val="FF0000"/>
                <w:sz w:val="21"/>
                <w:szCs w:val="21"/>
                <w:highlight w:val="white"/>
              </w:rPr>
              <w:t>exposure</w:t>
            </w:r>
            <w:r w:rsidR="00503A01">
              <w:rPr>
                <w:color w:val="FF0000"/>
                <w:sz w:val="21"/>
                <w:szCs w:val="21"/>
                <w:highlight w:val="white"/>
              </w:rPr>
              <w:t xml:space="preserve"> information</w:t>
            </w:r>
            <w:r w:rsidR="004441B2" w:rsidRPr="00FD7ED2">
              <w:rPr>
                <w:color w:val="FF0000"/>
                <w:sz w:val="21"/>
                <w:szCs w:val="21"/>
                <w:highlight w:val="white"/>
              </w:rPr>
              <w:t>.  New report</w:t>
            </w:r>
            <w:r w:rsidR="00503A01">
              <w:rPr>
                <w:color w:val="FF0000"/>
                <w:sz w:val="21"/>
                <w:szCs w:val="21"/>
                <w:highlight w:val="white"/>
              </w:rPr>
              <w:t>.</w:t>
            </w:r>
            <w:r w:rsidR="00503A01" w:rsidRPr="00FD7ED2">
              <w:rPr>
                <w:color w:val="FF0000"/>
                <w:sz w:val="21"/>
                <w:szCs w:val="21"/>
                <w:highlight w:val="white"/>
              </w:rPr>
              <w:t xml:space="preserve"> No</w:t>
            </w:r>
            <w:r w:rsidR="004441B2" w:rsidRPr="00FD7ED2">
              <w:rPr>
                <w:color w:val="FF0000"/>
                <w:sz w:val="21"/>
                <w:szCs w:val="21"/>
                <w:highlight w:val="white"/>
              </w:rPr>
              <w:t xml:space="preserve"> impact to settlement.  </w:t>
            </w:r>
          </w:p>
          <w:p w:rsidR="006972F2" w:rsidRPr="00FD7ED2" w:rsidRDefault="00FD7ED2" w:rsidP="007C0825">
            <w:pPr>
              <w:pStyle w:val="ListParagraph"/>
              <w:numPr>
                <w:ilvl w:val="0"/>
                <w:numId w:val="2"/>
              </w:numPr>
              <w:spacing w:after="40"/>
              <w:rPr>
                <w:color w:val="FF0000"/>
                <w:sz w:val="21"/>
                <w:szCs w:val="21"/>
                <w:highlight w:val="white"/>
              </w:rPr>
            </w:pPr>
            <w:r>
              <w:rPr>
                <w:color w:val="FF0000"/>
                <w:sz w:val="21"/>
                <w:szCs w:val="21"/>
                <w:highlight w:val="white"/>
              </w:rPr>
              <w:t>NPRR</w:t>
            </w:r>
            <w:r w:rsidR="004441B2" w:rsidRPr="00FD7ED2">
              <w:rPr>
                <w:color w:val="FF0000"/>
                <w:sz w:val="21"/>
                <w:szCs w:val="21"/>
                <w:highlight w:val="white"/>
              </w:rPr>
              <w:t>895</w:t>
            </w:r>
            <w:r w:rsidR="00483A4F">
              <w:rPr>
                <w:color w:val="FF0000"/>
                <w:sz w:val="21"/>
                <w:szCs w:val="21"/>
                <w:highlight w:val="white"/>
              </w:rPr>
              <w:t xml:space="preserve"> </w:t>
            </w:r>
            <w:r w:rsidR="007C0825">
              <w:rPr>
                <w:color w:val="FF0000"/>
                <w:sz w:val="21"/>
                <w:szCs w:val="21"/>
                <w:highlight w:val="white"/>
              </w:rPr>
              <w:t>–</w:t>
            </w:r>
            <w:r w:rsidR="004441B2" w:rsidRPr="00FD7ED2">
              <w:rPr>
                <w:color w:val="FF0000"/>
                <w:sz w:val="21"/>
                <w:szCs w:val="21"/>
                <w:highlight w:val="white"/>
              </w:rPr>
              <w:t xml:space="preserve"> </w:t>
            </w:r>
            <w:r w:rsidR="007C0825">
              <w:rPr>
                <w:color w:val="FF0000"/>
                <w:sz w:val="21"/>
                <w:szCs w:val="21"/>
                <w:highlight w:val="white"/>
              </w:rPr>
              <w:t>Inclusion of PVGRs in Real Time AS Imbalance payment or charge.  I</w:t>
            </w:r>
            <w:r w:rsidR="004441B2" w:rsidRPr="00FD7ED2">
              <w:rPr>
                <w:color w:val="FF0000"/>
                <w:sz w:val="21"/>
                <w:szCs w:val="21"/>
                <w:highlight w:val="white"/>
              </w:rPr>
              <w:t>mpact AS imbalance.  Shadow settlement impact.</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7.</w:t>
            </w:r>
          </w:p>
        </w:tc>
        <w:tc>
          <w:tcPr>
            <w:tcW w:w="9150" w:type="dxa"/>
            <w:tcBorders>
              <w:top w:val="nil"/>
              <w:left w:val="nil"/>
              <w:bottom w:val="nil"/>
              <w:right w:val="nil"/>
            </w:tcBorders>
            <w:tcMar>
              <w:top w:w="100" w:type="dxa"/>
              <w:left w:w="100" w:type="dxa"/>
              <w:bottom w:w="0" w:type="dxa"/>
              <w:right w:w="220" w:type="dxa"/>
            </w:tcMar>
          </w:tcPr>
          <w:p w:rsidR="00BD105A" w:rsidRDefault="004441B2">
            <w:pPr>
              <w:spacing w:after="40"/>
              <w:rPr>
                <w:color w:val="5B6770"/>
                <w:sz w:val="21"/>
                <w:szCs w:val="21"/>
                <w:highlight w:val="white"/>
              </w:rPr>
            </w:pPr>
            <w:r w:rsidRPr="00E82592">
              <w:rPr>
                <w:color w:val="5B6770"/>
                <w:sz w:val="21"/>
                <w:szCs w:val="21"/>
                <w:highlight w:val="white"/>
              </w:rPr>
              <w:t xml:space="preserve">Matrix Updates  </w:t>
            </w:r>
          </w:p>
          <w:p w:rsidR="006972F2" w:rsidRPr="00E82592" w:rsidRDefault="004441B2">
            <w:pPr>
              <w:spacing w:after="40"/>
              <w:rPr>
                <w:color w:val="FF0000"/>
                <w:sz w:val="21"/>
                <w:szCs w:val="21"/>
                <w:highlight w:val="white"/>
              </w:rPr>
            </w:pPr>
            <w:r w:rsidRPr="00E82592">
              <w:rPr>
                <w:color w:val="FF0000"/>
                <w:sz w:val="21"/>
                <w:szCs w:val="21"/>
                <w:highlight w:val="white"/>
              </w:rPr>
              <w:t>Added lan</w:t>
            </w:r>
            <w:r w:rsidR="006527B6">
              <w:rPr>
                <w:color w:val="FF0000"/>
                <w:sz w:val="21"/>
                <w:szCs w:val="21"/>
                <w:highlight w:val="white"/>
              </w:rPr>
              <w:t>gu</w:t>
            </w:r>
            <w:r w:rsidRPr="00E82592">
              <w:rPr>
                <w:color w:val="FF0000"/>
                <w:sz w:val="21"/>
                <w:szCs w:val="21"/>
                <w:highlight w:val="white"/>
              </w:rPr>
              <w:t>age for NPRR912.  Will be posting soon with language added for NPRR821.  Please note change log at the end of the document.</w:t>
            </w:r>
          </w:p>
          <w:p w:rsidR="006972F2" w:rsidRPr="00E82592" w:rsidRDefault="004441B2" w:rsidP="006527B6">
            <w:pPr>
              <w:spacing w:after="40"/>
              <w:rPr>
                <w:color w:val="FF0000"/>
                <w:sz w:val="21"/>
                <w:szCs w:val="21"/>
                <w:highlight w:val="white"/>
              </w:rPr>
            </w:pPr>
            <w:r w:rsidRPr="00E82592">
              <w:rPr>
                <w:color w:val="FF0000"/>
                <w:sz w:val="21"/>
                <w:szCs w:val="21"/>
                <w:highlight w:val="white"/>
              </w:rPr>
              <w:t xml:space="preserve">Settlement Matrix </w:t>
            </w:r>
            <w:r w:rsidR="006527B6">
              <w:rPr>
                <w:color w:val="FF0000"/>
                <w:sz w:val="21"/>
                <w:szCs w:val="21"/>
                <w:highlight w:val="white"/>
              </w:rPr>
              <w:t>is currently 214 pages, mainly of copy paste protocol formulas.  Also, the Matrix is not the optimal way to review formulas, as they are difficult to maintain.  ERCOT suggests to d</w:t>
            </w:r>
            <w:r w:rsidRPr="00E82592">
              <w:rPr>
                <w:color w:val="FF0000"/>
                <w:sz w:val="21"/>
                <w:szCs w:val="21"/>
                <w:highlight w:val="white"/>
              </w:rPr>
              <w:t xml:space="preserve">ownplay duplicative info, and focus on things not documented in the protocols.  </w:t>
            </w:r>
            <w:r w:rsidR="006527B6">
              <w:rPr>
                <w:color w:val="FF0000"/>
                <w:sz w:val="21"/>
                <w:szCs w:val="21"/>
                <w:highlight w:val="white"/>
              </w:rPr>
              <w:t>Need to decide w</w:t>
            </w:r>
            <w:r w:rsidRPr="00E82592">
              <w:rPr>
                <w:color w:val="FF0000"/>
                <w:sz w:val="21"/>
                <w:szCs w:val="21"/>
                <w:highlight w:val="white"/>
              </w:rPr>
              <w:t>hat to remove/keep/add.  Will continue looking at proposed changes in June meeting.</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8.</w:t>
            </w:r>
          </w:p>
        </w:tc>
        <w:tc>
          <w:tcPr>
            <w:tcW w:w="9150" w:type="dxa"/>
            <w:tcBorders>
              <w:top w:val="nil"/>
              <w:left w:val="nil"/>
              <w:bottom w:val="nil"/>
              <w:right w:val="nil"/>
            </w:tcBorders>
            <w:tcMar>
              <w:top w:w="100" w:type="dxa"/>
              <w:left w:w="100" w:type="dxa"/>
              <w:bottom w:w="0" w:type="dxa"/>
              <w:right w:w="220" w:type="dxa"/>
            </w:tcMar>
          </w:tcPr>
          <w:p w:rsidR="00BD105A" w:rsidRDefault="004441B2">
            <w:pPr>
              <w:spacing w:after="40"/>
              <w:rPr>
                <w:color w:val="FF0000"/>
                <w:sz w:val="21"/>
                <w:szCs w:val="21"/>
                <w:highlight w:val="white"/>
              </w:rPr>
            </w:pPr>
            <w:r w:rsidRPr="00E82592">
              <w:rPr>
                <w:color w:val="5B6770"/>
                <w:sz w:val="21"/>
                <w:szCs w:val="21"/>
                <w:highlight w:val="white"/>
              </w:rPr>
              <w:t>UFE Report – Should MSWG be target audience?</w:t>
            </w:r>
            <w:r w:rsidR="00BD105A">
              <w:rPr>
                <w:color w:val="FF0000"/>
                <w:sz w:val="21"/>
                <w:szCs w:val="21"/>
                <w:highlight w:val="white"/>
              </w:rPr>
              <w:t xml:space="preserve">  </w:t>
            </w:r>
          </w:p>
          <w:p w:rsidR="00BD105A" w:rsidRDefault="005B0DA2">
            <w:pPr>
              <w:spacing w:after="40"/>
              <w:rPr>
                <w:color w:val="FF0000"/>
                <w:sz w:val="21"/>
                <w:szCs w:val="21"/>
                <w:highlight w:val="white"/>
              </w:rPr>
            </w:pPr>
            <w:r>
              <w:rPr>
                <w:color w:val="FF0000"/>
                <w:sz w:val="21"/>
                <w:szCs w:val="21"/>
                <w:highlight w:val="white"/>
              </w:rPr>
              <w:t xml:space="preserve">This UFE report </w:t>
            </w:r>
            <w:proofErr w:type="gramStart"/>
            <w:r>
              <w:rPr>
                <w:color w:val="FF0000"/>
                <w:sz w:val="21"/>
                <w:szCs w:val="21"/>
                <w:highlight w:val="white"/>
              </w:rPr>
              <w:t>w</w:t>
            </w:r>
            <w:r w:rsidR="00BD105A">
              <w:rPr>
                <w:color w:val="FF0000"/>
                <w:sz w:val="21"/>
                <w:szCs w:val="21"/>
                <w:highlight w:val="white"/>
              </w:rPr>
              <w:t>as p</w:t>
            </w:r>
            <w:r w:rsidR="00340F0F">
              <w:rPr>
                <w:color w:val="FF0000"/>
                <w:sz w:val="21"/>
                <w:szCs w:val="21"/>
                <w:highlight w:val="white"/>
              </w:rPr>
              <w:t>resented</w:t>
            </w:r>
            <w:proofErr w:type="gramEnd"/>
            <w:r w:rsidR="00340F0F">
              <w:rPr>
                <w:color w:val="FF0000"/>
                <w:sz w:val="21"/>
                <w:szCs w:val="21"/>
                <w:highlight w:val="white"/>
              </w:rPr>
              <w:t xml:space="preserve"> at </w:t>
            </w:r>
            <w:r w:rsidR="00BD105A">
              <w:rPr>
                <w:color w:val="FF0000"/>
                <w:sz w:val="21"/>
                <w:szCs w:val="21"/>
                <w:highlight w:val="white"/>
              </w:rPr>
              <w:t>last PWG meeting.  Needs a home audience.  The previously deemed appropriate subcommittee was COPS.</w:t>
            </w:r>
            <w:r w:rsidR="00FD68E5">
              <w:rPr>
                <w:color w:val="FF0000"/>
                <w:sz w:val="21"/>
                <w:szCs w:val="21"/>
                <w:highlight w:val="white"/>
              </w:rPr>
              <w:t xml:space="preserve">  </w:t>
            </w:r>
            <w:r w:rsidR="00FD68E5" w:rsidRPr="00E82592">
              <w:rPr>
                <w:color w:val="FF0000"/>
                <w:sz w:val="21"/>
                <w:szCs w:val="21"/>
                <w:highlight w:val="white"/>
              </w:rPr>
              <w:t>Probably more appropriate for WMS because of its broad feel.</w:t>
            </w:r>
          </w:p>
          <w:p w:rsidR="00FD68E5" w:rsidRDefault="00340F0F">
            <w:pPr>
              <w:spacing w:after="40"/>
              <w:rPr>
                <w:color w:val="FF0000"/>
                <w:sz w:val="21"/>
                <w:szCs w:val="21"/>
                <w:highlight w:val="white"/>
              </w:rPr>
            </w:pPr>
            <w:r>
              <w:rPr>
                <w:color w:val="FF0000"/>
                <w:sz w:val="21"/>
                <w:szCs w:val="21"/>
                <w:highlight w:val="white"/>
              </w:rPr>
              <w:t>Ne</w:t>
            </w:r>
            <w:r w:rsidR="004441B2" w:rsidRPr="00E82592">
              <w:rPr>
                <w:color w:val="FF0000"/>
                <w:sz w:val="21"/>
                <w:szCs w:val="21"/>
                <w:highlight w:val="white"/>
              </w:rPr>
              <w:t xml:space="preserve">gative UFE indicates </w:t>
            </w:r>
            <w:r w:rsidR="00FD68E5">
              <w:rPr>
                <w:color w:val="FF0000"/>
                <w:sz w:val="21"/>
                <w:szCs w:val="21"/>
                <w:highlight w:val="white"/>
              </w:rPr>
              <w:t>load/</w:t>
            </w:r>
            <w:r w:rsidR="004441B2" w:rsidRPr="00E82592">
              <w:rPr>
                <w:color w:val="FF0000"/>
                <w:sz w:val="21"/>
                <w:szCs w:val="21"/>
                <w:highlight w:val="white"/>
              </w:rPr>
              <w:t xml:space="preserve">loss are overestimated.  </w:t>
            </w:r>
          </w:p>
          <w:p w:rsidR="006972F2" w:rsidRPr="00E82592" w:rsidRDefault="004441B2" w:rsidP="00FD68E5">
            <w:pPr>
              <w:spacing w:after="40"/>
              <w:rPr>
                <w:color w:val="FF0000"/>
                <w:sz w:val="21"/>
                <w:szCs w:val="21"/>
                <w:highlight w:val="white"/>
              </w:rPr>
            </w:pPr>
            <w:r w:rsidRPr="00E82592">
              <w:rPr>
                <w:color w:val="FF0000"/>
                <w:sz w:val="21"/>
                <w:szCs w:val="21"/>
                <w:highlight w:val="white"/>
              </w:rPr>
              <w:t xml:space="preserve">Advanced </w:t>
            </w:r>
            <w:r w:rsidR="00FD68E5" w:rsidRPr="00E82592">
              <w:rPr>
                <w:color w:val="FF0000"/>
                <w:sz w:val="21"/>
                <w:szCs w:val="21"/>
                <w:highlight w:val="white"/>
              </w:rPr>
              <w:t>meters (</w:t>
            </w:r>
            <w:r w:rsidRPr="00E82592">
              <w:rPr>
                <w:color w:val="FF0000"/>
                <w:sz w:val="21"/>
                <w:szCs w:val="21"/>
                <w:highlight w:val="white"/>
              </w:rPr>
              <w:t>2009-2013 transition period)</w:t>
            </w:r>
            <w:r w:rsidR="00FD68E5">
              <w:rPr>
                <w:color w:val="FF0000"/>
                <w:sz w:val="21"/>
                <w:szCs w:val="21"/>
                <w:highlight w:val="white"/>
              </w:rPr>
              <w:t xml:space="preserve"> </w:t>
            </w:r>
            <w:r w:rsidR="00FD68E5" w:rsidRPr="00E82592">
              <w:rPr>
                <w:color w:val="FF0000"/>
                <w:sz w:val="21"/>
                <w:szCs w:val="21"/>
                <w:highlight w:val="white"/>
              </w:rPr>
              <w:t>contributed to the improvement/stabilization of UFE</w:t>
            </w:r>
            <w:r w:rsidR="00FD68E5">
              <w:rPr>
                <w:color w:val="FF0000"/>
                <w:sz w:val="21"/>
                <w:szCs w:val="21"/>
                <w:highlight w:val="white"/>
              </w:rPr>
              <w:t>.</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pPr>
              <w:spacing w:after="40"/>
              <w:jc w:val="right"/>
              <w:rPr>
                <w:color w:val="5B6770"/>
                <w:sz w:val="21"/>
                <w:szCs w:val="21"/>
                <w:highlight w:val="white"/>
              </w:rPr>
            </w:pPr>
            <w:r w:rsidRPr="00E82592">
              <w:rPr>
                <w:color w:val="5B6770"/>
                <w:sz w:val="21"/>
                <w:szCs w:val="21"/>
                <w:highlight w:val="white"/>
              </w:rPr>
              <w:t>9.</w:t>
            </w:r>
          </w:p>
        </w:tc>
        <w:tc>
          <w:tcPr>
            <w:tcW w:w="9150" w:type="dxa"/>
            <w:tcBorders>
              <w:top w:val="nil"/>
              <w:left w:val="nil"/>
              <w:bottom w:val="nil"/>
              <w:right w:val="nil"/>
            </w:tcBorders>
            <w:tcMar>
              <w:top w:w="100" w:type="dxa"/>
              <w:left w:w="100" w:type="dxa"/>
              <w:bottom w:w="0" w:type="dxa"/>
              <w:right w:w="220" w:type="dxa"/>
            </w:tcMar>
          </w:tcPr>
          <w:p w:rsidR="001B2E0F" w:rsidRDefault="004441B2">
            <w:pPr>
              <w:spacing w:after="40"/>
              <w:rPr>
                <w:color w:val="5B6770"/>
                <w:sz w:val="21"/>
                <w:szCs w:val="21"/>
                <w:highlight w:val="white"/>
              </w:rPr>
            </w:pPr>
            <w:r w:rsidRPr="00E82592">
              <w:rPr>
                <w:color w:val="5B6770"/>
                <w:sz w:val="21"/>
                <w:szCs w:val="21"/>
                <w:highlight w:val="white"/>
              </w:rPr>
              <w:t xml:space="preserve">WMS Update  </w:t>
            </w:r>
          </w:p>
          <w:p w:rsidR="006972F2" w:rsidRPr="005B0DA2" w:rsidRDefault="001B2E0F" w:rsidP="005B0DA2">
            <w:pPr>
              <w:pStyle w:val="ListParagraph"/>
              <w:numPr>
                <w:ilvl w:val="0"/>
                <w:numId w:val="3"/>
              </w:numPr>
              <w:spacing w:after="40"/>
              <w:rPr>
                <w:color w:val="FF0000"/>
                <w:sz w:val="21"/>
                <w:szCs w:val="21"/>
                <w:highlight w:val="white"/>
              </w:rPr>
            </w:pPr>
            <w:r w:rsidRPr="005B0DA2">
              <w:rPr>
                <w:color w:val="FF0000"/>
                <w:sz w:val="21"/>
                <w:szCs w:val="21"/>
                <w:highlight w:val="white"/>
              </w:rPr>
              <w:t xml:space="preserve">Can we add </w:t>
            </w:r>
            <w:r w:rsidR="004441B2" w:rsidRPr="005B0DA2">
              <w:rPr>
                <w:color w:val="FF0000"/>
                <w:sz w:val="21"/>
                <w:szCs w:val="21"/>
                <w:highlight w:val="white"/>
              </w:rPr>
              <w:t xml:space="preserve">Balancing Account Fund to </w:t>
            </w:r>
            <w:r w:rsidR="003A7525" w:rsidRPr="005B0DA2">
              <w:rPr>
                <w:color w:val="FF0000"/>
                <w:sz w:val="21"/>
                <w:szCs w:val="21"/>
                <w:highlight w:val="white"/>
              </w:rPr>
              <w:t xml:space="preserve">the settlement </w:t>
            </w:r>
            <w:r w:rsidR="004441B2" w:rsidRPr="005B0DA2">
              <w:rPr>
                <w:color w:val="FF0000"/>
                <w:sz w:val="21"/>
                <w:szCs w:val="21"/>
                <w:highlight w:val="white"/>
              </w:rPr>
              <w:t xml:space="preserve">stability report?  </w:t>
            </w:r>
            <w:r w:rsidRPr="005B0DA2">
              <w:rPr>
                <w:color w:val="FF0000"/>
                <w:sz w:val="21"/>
                <w:szCs w:val="21"/>
                <w:highlight w:val="white"/>
              </w:rPr>
              <w:t>Probably not.  E</w:t>
            </w:r>
            <w:r w:rsidR="004441B2" w:rsidRPr="005B0DA2">
              <w:rPr>
                <w:color w:val="FF0000"/>
                <w:sz w:val="21"/>
                <w:szCs w:val="21"/>
                <w:highlight w:val="white"/>
              </w:rPr>
              <w:t>verything in the</w:t>
            </w:r>
            <w:r w:rsidRPr="005B0DA2">
              <w:rPr>
                <w:color w:val="FF0000"/>
                <w:sz w:val="21"/>
                <w:szCs w:val="21"/>
                <w:highlight w:val="white"/>
              </w:rPr>
              <w:t xml:space="preserve"> stability report is from the Pr</w:t>
            </w:r>
            <w:r w:rsidR="004441B2" w:rsidRPr="005B0DA2">
              <w:rPr>
                <w:color w:val="FF0000"/>
                <w:sz w:val="21"/>
                <w:szCs w:val="21"/>
                <w:highlight w:val="white"/>
              </w:rPr>
              <w:t>otocols</w:t>
            </w:r>
            <w:r w:rsidRPr="005B0DA2">
              <w:rPr>
                <w:color w:val="FF0000"/>
                <w:sz w:val="21"/>
                <w:szCs w:val="21"/>
                <w:highlight w:val="white"/>
              </w:rPr>
              <w:t xml:space="preserve"> requirements</w:t>
            </w:r>
            <w:r w:rsidR="004441B2" w:rsidRPr="005B0DA2">
              <w:rPr>
                <w:color w:val="FF0000"/>
                <w:sz w:val="21"/>
                <w:szCs w:val="21"/>
                <w:highlight w:val="white"/>
              </w:rPr>
              <w:t>.</w:t>
            </w:r>
          </w:p>
          <w:p w:rsidR="006972F2" w:rsidRPr="005B0DA2" w:rsidRDefault="004441B2" w:rsidP="005B0DA2">
            <w:pPr>
              <w:pStyle w:val="ListParagraph"/>
              <w:numPr>
                <w:ilvl w:val="0"/>
                <w:numId w:val="3"/>
              </w:numPr>
              <w:spacing w:after="40"/>
              <w:rPr>
                <w:color w:val="FF0000"/>
                <w:sz w:val="21"/>
                <w:szCs w:val="21"/>
                <w:highlight w:val="white"/>
              </w:rPr>
            </w:pPr>
            <w:r w:rsidRPr="005B0DA2">
              <w:rPr>
                <w:color w:val="FF0000"/>
                <w:sz w:val="21"/>
                <w:szCs w:val="21"/>
                <w:highlight w:val="white"/>
              </w:rPr>
              <w:t>There should be an ERO invoice next month.</w:t>
            </w:r>
            <w:r w:rsidR="005B0DA2">
              <w:rPr>
                <w:color w:val="FF0000"/>
                <w:sz w:val="21"/>
                <w:szCs w:val="21"/>
                <w:highlight w:val="white"/>
              </w:rPr>
              <w:t xml:space="preserve">  E</w:t>
            </w:r>
            <w:r w:rsidR="00F2104D">
              <w:rPr>
                <w:color w:val="FF0000"/>
                <w:sz w:val="21"/>
                <w:szCs w:val="21"/>
                <w:highlight w:val="white"/>
              </w:rPr>
              <w:t xml:space="preserve">RCOT invoices will go to </w:t>
            </w:r>
            <w:proofErr w:type="spellStart"/>
            <w:r w:rsidR="00F2104D">
              <w:rPr>
                <w:color w:val="FF0000"/>
                <w:sz w:val="21"/>
                <w:szCs w:val="21"/>
                <w:highlight w:val="white"/>
              </w:rPr>
              <w:t>Notice_</w:t>
            </w:r>
            <w:r w:rsidR="005B0DA2">
              <w:rPr>
                <w:color w:val="FF0000"/>
                <w:sz w:val="21"/>
                <w:szCs w:val="21"/>
                <w:highlight w:val="white"/>
              </w:rPr>
              <w:t>Settlements</w:t>
            </w:r>
            <w:proofErr w:type="spellEnd"/>
            <w:r w:rsidR="005B0DA2">
              <w:rPr>
                <w:color w:val="FF0000"/>
                <w:sz w:val="21"/>
                <w:szCs w:val="21"/>
                <w:highlight w:val="white"/>
              </w:rPr>
              <w:t>, Accounts Payable and Authorized Representatives.</w:t>
            </w:r>
            <w:r w:rsidRPr="005B0DA2">
              <w:rPr>
                <w:color w:val="FF0000"/>
                <w:sz w:val="21"/>
                <w:szCs w:val="21"/>
                <w:highlight w:val="white"/>
              </w:rPr>
              <w:t xml:space="preserve">  </w:t>
            </w:r>
            <w:r w:rsidR="005B0DA2" w:rsidRPr="005B0DA2">
              <w:rPr>
                <w:color w:val="FF0000"/>
                <w:sz w:val="21"/>
                <w:szCs w:val="21"/>
                <w:highlight w:val="white"/>
              </w:rPr>
              <w:t>Confirm and give feedback if not as expected</w:t>
            </w:r>
            <w:r w:rsidRPr="005B0DA2">
              <w:rPr>
                <w:color w:val="FF0000"/>
                <w:sz w:val="21"/>
                <w:szCs w:val="21"/>
                <w:highlight w:val="white"/>
              </w:rPr>
              <w:t>.</w:t>
            </w:r>
          </w:p>
          <w:p w:rsidR="006972F2" w:rsidRPr="005B0DA2" w:rsidRDefault="00510CF4" w:rsidP="005B0DA2">
            <w:pPr>
              <w:pStyle w:val="ListParagraph"/>
              <w:numPr>
                <w:ilvl w:val="0"/>
                <w:numId w:val="3"/>
              </w:numPr>
              <w:spacing w:after="40"/>
              <w:rPr>
                <w:color w:val="FF0000"/>
                <w:sz w:val="21"/>
                <w:szCs w:val="21"/>
                <w:highlight w:val="white"/>
              </w:rPr>
            </w:pPr>
            <w:r>
              <w:rPr>
                <w:color w:val="FF0000"/>
                <w:sz w:val="21"/>
                <w:szCs w:val="21"/>
                <w:highlight w:val="white"/>
              </w:rPr>
              <w:t>Possible assignment on</w:t>
            </w:r>
            <w:r w:rsidR="004441B2" w:rsidRPr="005B0DA2">
              <w:rPr>
                <w:color w:val="FF0000"/>
                <w:sz w:val="21"/>
                <w:szCs w:val="21"/>
                <w:highlight w:val="white"/>
              </w:rPr>
              <w:t xml:space="preserve"> energy storage from WMS</w:t>
            </w:r>
            <w:r w:rsidR="000615B7" w:rsidRPr="005B0DA2">
              <w:rPr>
                <w:color w:val="FF0000"/>
                <w:sz w:val="21"/>
                <w:szCs w:val="21"/>
                <w:highlight w:val="white"/>
              </w:rPr>
              <w:t>.</w:t>
            </w:r>
            <w:r w:rsidR="00F2104D">
              <w:rPr>
                <w:color w:val="FF0000"/>
                <w:sz w:val="21"/>
                <w:szCs w:val="21"/>
                <w:highlight w:val="white"/>
              </w:rPr>
              <w:t xml:space="preserve"> </w:t>
            </w:r>
            <w:bookmarkStart w:id="1" w:name="_GoBack"/>
            <w:bookmarkEnd w:id="1"/>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rsidP="0054579A">
            <w:pPr>
              <w:spacing w:after="40"/>
              <w:jc w:val="right"/>
              <w:rPr>
                <w:color w:val="5B6770"/>
                <w:sz w:val="21"/>
                <w:szCs w:val="21"/>
                <w:highlight w:val="white"/>
              </w:rPr>
            </w:pPr>
            <w:r w:rsidRPr="00E82592">
              <w:rPr>
                <w:color w:val="5B6770"/>
                <w:sz w:val="21"/>
                <w:szCs w:val="21"/>
                <w:highlight w:val="white"/>
              </w:rPr>
              <w:t>10</w:t>
            </w:r>
          </w:p>
        </w:tc>
        <w:tc>
          <w:tcPr>
            <w:tcW w:w="9150" w:type="dxa"/>
            <w:tcBorders>
              <w:top w:val="nil"/>
              <w:left w:val="nil"/>
              <w:bottom w:val="nil"/>
              <w:right w:val="nil"/>
            </w:tcBorders>
            <w:tcMar>
              <w:top w:w="100" w:type="dxa"/>
              <w:left w:w="100" w:type="dxa"/>
              <w:bottom w:w="0" w:type="dxa"/>
              <w:right w:w="220" w:type="dxa"/>
            </w:tcMar>
          </w:tcPr>
          <w:p w:rsidR="006972F2" w:rsidRPr="00E00EF6" w:rsidRDefault="004441B2">
            <w:pPr>
              <w:spacing w:after="40"/>
              <w:rPr>
                <w:color w:val="FF0000"/>
                <w:sz w:val="21"/>
                <w:szCs w:val="21"/>
                <w:highlight w:val="white"/>
              </w:rPr>
            </w:pPr>
            <w:r w:rsidRPr="00E82592">
              <w:rPr>
                <w:color w:val="5B6770"/>
                <w:sz w:val="21"/>
                <w:szCs w:val="21"/>
                <w:highlight w:val="white"/>
              </w:rPr>
              <w:t xml:space="preserve">Status of </w:t>
            </w:r>
            <w:proofErr w:type="gramStart"/>
            <w:r w:rsidRPr="00E82592">
              <w:rPr>
                <w:color w:val="5B6770"/>
                <w:sz w:val="21"/>
                <w:szCs w:val="21"/>
                <w:highlight w:val="white"/>
              </w:rPr>
              <w:t>NPRR917</w:t>
            </w:r>
            <w:r w:rsidR="00E00EF6">
              <w:rPr>
                <w:color w:val="5B6770"/>
                <w:sz w:val="21"/>
                <w:szCs w:val="21"/>
                <w:highlight w:val="white"/>
              </w:rPr>
              <w:t xml:space="preserve">  </w:t>
            </w:r>
            <w:r w:rsidR="00E00EF6">
              <w:rPr>
                <w:color w:val="FF0000"/>
                <w:sz w:val="21"/>
                <w:szCs w:val="21"/>
                <w:highlight w:val="white"/>
              </w:rPr>
              <w:t>Grandfathering</w:t>
            </w:r>
            <w:proofErr w:type="gramEnd"/>
            <w:r w:rsidR="00E00EF6">
              <w:rPr>
                <w:color w:val="FF0000"/>
                <w:sz w:val="21"/>
                <w:szCs w:val="21"/>
                <w:highlight w:val="white"/>
              </w:rPr>
              <w:t xml:space="preserve"> issue continues.</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rsidP="0054579A">
            <w:pPr>
              <w:spacing w:after="40"/>
              <w:jc w:val="right"/>
              <w:rPr>
                <w:color w:val="5B6770"/>
                <w:sz w:val="21"/>
                <w:szCs w:val="21"/>
                <w:highlight w:val="white"/>
              </w:rPr>
            </w:pPr>
            <w:r w:rsidRPr="00E82592">
              <w:rPr>
                <w:color w:val="5B6770"/>
                <w:sz w:val="21"/>
                <w:szCs w:val="21"/>
                <w:highlight w:val="white"/>
              </w:rPr>
              <w:t>11</w:t>
            </w:r>
          </w:p>
        </w:tc>
        <w:tc>
          <w:tcPr>
            <w:tcW w:w="9150" w:type="dxa"/>
            <w:tcBorders>
              <w:top w:val="nil"/>
              <w:left w:val="nil"/>
              <w:bottom w:val="nil"/>
              <w:right w:val="nil"/>
            </w:tcBorders>
            <w:tcMar>
              <w:top w:w="100" w:type="dxa"/>
              <w:left w:w="100" w:type="dxa"/>
              <w:bottom w:w="0" w:type="dxa"/>
              <w:right w:w="220" w:type="dxa"/>
            </w:tcMar>
          </w:tcPr>
          <w:p w:rsidR="006972F2" w:rsidRDefault="004441B2">
            <w:pPr>
              <w:spacing w:after="40"/>
              <w:rPr>
                <w:color w:val="5B6770"/>
                <w:sz w:val="21"/>
                <w:szCs w:val="21"/>
                <w:highlight w:val="white"/>
              </w:rPr>
            </w:pPr>
            <w:r w:rsidRPr="00E82592">
              <w:rPr>
                <w:color w:val="5B6770"/>
                <w:sz w:val="21"/>
                <w:szCs w:val="21"/>
                <w:highlight w:val="white"/>
              </w:rPr>
              <w:t>Energy Storage Workshop &amp; RTC Update (4/4, 4/18, 4/30, 5/13)</w:t>
            </w:r>
          </w:p>
          <w:p w:rsidR="00CA42E8" w:rsidRDefault="00CA42E8" w:rsidP="00CA42E8">
            <w:pPr>
              <w:pStyle w:val="ListParagraph"/>
              <w:numPr>
                <w:ilvl w:val="0"/>
                <w:numId w:val="4"/>
              </w:numPr>
              <w:spacing w:after="40"/>
              <w:rPr>
                <w:color w:val="FF0000"/>
                <w:sz w:val="21"/>
                <w:szCs w:val="21"/>
                <w:highlight w:val="white"/>
              </w:rPr>
            </w:pPr>
            <w:r>
              <w:rPr>
                <w:color w:val="FF0000"/>
                <w:sz w:val="21"/>
                <w:szCs w:val="21"/>
                <w:highlight w:val="white"/>
              </w:rPr>
              <w:t>Energy Storage Workshop</w:t>
            </w:r>
            <w:r w:rsidR="00497966">
              <w:rPr>
                <w:color w:val="FF0000"/>
                <w:sz w:val="21"/>
                <w:szCs w:val="21"/>
                <w:highlight w:val="white"/>
              </w:rPr>
              <w:t xml:space="preserve"> on 4/23/19</w:t>
            </w:r>
            <w:r>
              <w:rPr>
                <w:color w:val="FF0000"/>
                <w:sz w:val="21"/>
                <w:szCs w:val="21"/>
                <w:highlight w:val="white"/>
              </w:rPr>
              <w:t>:</w:t>
            </w:r>
            <w:r w:rsidR="00497966">
              <w:rPr>
                <w:color w:val="FF0000"/>
                <w:sz w:val="21"/>
                <w:szCs w:val="21"/>
                <w:highlight w:val="white"/>
              </w:rPr>
              <w:t xml:space="preserve"> The workshop </w:t>
            </w:r>
            <w:r w:rsidR="00C66092">
              <w:rPr>
                <w:color w:val="FF0000"/>
                <w:sz w:val="21"/>
                <w:szCs w:val="21"/>
                <w:highlight w:val="white"/>
              </w:rPr>
              <w:t xml:space="preserve">included </w:t>
            </w:r>
            <w:r w:rsidR="002A4450">
              <w:rPr>
                <w:color w:val="FF0000"/>
                <w:sz w:val="21"/>
                <w:szCs w:val="21"/>
                <w:highlight w:val="white"/>
              </w:rPr>
              <w:t>technical discussion</w:t>
            </w:r>
            <w:r w:rsidR="00C66092">
              <w:rPr>
                <w:color w:val="FF0000"/>
                <w:sz w:val="21"/>
                <w:szCs w:val="21"/>
                <w:highlight w:val="white"/>
              </w:rPr>
              <w:t>s such as</w:t>
            </w:r>
            <w:r w:rsidR="002A4450">
              <w:rPr>
                <w:color w:val="FF0000"/>
                <w:sz w:val="21"/>
                <w:szCs w:val="21"/>
                <w:highlight w:val="white"/>
              </w:rPr>
              <w:t xml:space="preserve"> the automation, chemistries, opera</w:t>
            </w:r>
            <w:r w:rsidR="00C66092">
              <w:rPr>
                <w:color w:val="FF0000"/>
                <w:sz w:val="21"/>
                <w:szCs w:val="21"/>
                <w:highlight w:val="white"/>
              </w:rPr>
              <w:t>ting characteristics, and degradation of</w:t>
            </w:r>
            <w:r w:rsidR="00497966">
              <w:rPr>
                <w:color w:val="FF0000"/>
                <w:sz w:val="21"/>
                <w:szCs w:val="21"/>
                <w:highlight w:val="white"/>
              </w:rPr>
              <w:t xml:space="preserve"> </w:t>
            </w:r>
            <w:r w:rsidR="00497966">
              <w:rPr>
                <w:color w:val="FF0000"/>
                <w:sz w:val="21"/>
                <w:szCs w:val="21"/>
                <w:highlight w:val="white"/>
              </w:rPr>
              <w:lastRenderedPageBreak/>
              <w:t>Battery Energy Storage Resources (BESR). All market data inputs are measured at the Point of Interconnection (POI).</w:t>
            </w:r>
          </w:p>
          <w:p w:rsidR="00CA42E8" w:rsidRPr="00CA42E8" w:rsidRDefault="00CA42E8" w:rsidP="00497966">
            <w:pPr>
              <w:pStyle w:val="ListParagraph"/>
              <w:numPr>
                <w:ilvl w:val="0"/>
                <w:numId w:val="4"/>
              </w:numPr>
              <w:spacing w:after="40"/>
              <w:rPr>
                <w:color w:val="FF0000"/>
                <w:sz w:val="21"/>
                <w:szCs w:val="21"/>
                <w:highlight w:val="white"/>
              </w:rPr>
            </w:pPr>
            <w:r>
              <w:rPr>
                <w:color w:val="FF0000"/>
                <w:sz w:val="21"/>
                <w:szCs w:val="21"/>
                <w:highlight w:val="white"/>
              </w:rPr>
              <w:t>RTC Update: RTC</w:t>
            </w:r>
            <w:r w:rsidR="00497966">
              <w:rPr>
                <w:color w:val="FF0000"/>
                <w:sz w:val="21"/>
                <w:szCs w:val="21"/>
                <w:highlight w:val="white"/>
              </w:rPr>
              <w:t>TF</w:t>
            </w:r>
            <w:r>
              <w:rPr>
                <w:color w:val="FF0000"/>
                <w:sz w:val="21"/>
                <w:szCs w:val="21"/>
                <w:highlight w:val="white"/>
              </w:rPr>
              <w:t xml:space="preserve"> had meeting</w:t>
            </w:r>
            <w:r w:rsidR="00497966">
              <w:rPr>
                <w:color w:val="FF0000"/>
                <w:sz w:val="21"/>
                <w:szCs w:val="21"/>
                <w:highlight w:val="white"/>
              </w:rPr>
              <w:t>s on 4/22, 4/30 and 5/13.  Settlement included as the endpoint of each facet of the changing market design.  The 5/13 meeting has three increasingly complex Settlement scenario spreadsheets.</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rsidP="0054579A">
            <w:pPr>
              <w:spacing w:after="40"/>
              <w:jc w:val="right"/>
              <w:rPr>
                <w:color w:val="5B6770"/>
                <w:sz w:val="21"/>
                <w:szCs w:val="21"/>
                <w:highlight w:val="white"/>
              </w:rPr>
            </w:pPr>
            <w:r w:rsidRPr="00E82592">
              <w:rPr>
                <w:color w:val="5B6770"/>
                <w:sz w:val="21"/>
                <w:szCs w:val="21"/>
                <w:highlight w:val="white"/>
              </w:rPr>
              <w:lastRenderedPageBreak/>
              <w:t>12</w:t>
            </w:r>
          </w:p>
        </w:tc>
        <w:tc>
          <w:tcPr>
            <w:tcW w:w="9150" w:type="dxa"/>
            <w:tcBorders>
              <w:top w:val="nil"/>
              <w:left w:val="nil"/>
              <w:bottom w:val="nil"/>
              <w:right w:val="nil"/>
            </w:tcBorders>
            <w:tcMar>
              <w:top w:w="100" w:type="dxa"/>
              <w:left w:w="100" w:type="dxa"/>
              <w:bottom w:w="0" w:type="dxa"/>
              <w:right w:w="220" w:type="dxa"/>
            </w:tcMar>
          </w:tcPr>
          <w:p w:rsidR="006972F2" w:rsidRPr="00E82592" w:rsidRDefault="004441B2">
            <w:pPr>
              <w:spacing w:after="40"/>
              <w:rPr>
                <w:color w:val="5B6770"/>
                <w:sz w:val="21"/>
                <w:szCs w:val="21"/>
                <w:highlight w:val="white"/>
              </w:rPr>
            </w:pPr>
            <w:r w:rsidRPr="00E82592">
              <w:rPr>
                <w:color w:val="5B6770"/>
                <w:sz w:val="21"/>
                <w:szCs w:val="21"/>
                <w:highlight w:val="white"/>
              </w:rPr>
              <w:t>Evaluation of New NPRRs for Settlement Impacts</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rsidP="0054579A">
            <w:pPr>
              <w:spacing w:after="40"/>
              <w:jc w:val="right"/>
              <w:rPr>
                <w:color w:val="5B6770"/>
                <w:sz w:val="21"/>
                <w:szCs w:val="21"/>
                <w:highlight w:val="white"/>
              </w:rPr>
            </w:pPr>
            <w:r w:rsidRPr="00E82592">
              <w:rPr>
                <w:color w:val="5B6770"/>
                <w:sz w:val="21"/>
                <w:szCs w:val="21"/>
                <w:highlight w:val="white"/>
              </w:rPr>
              <w:t>13</w:t>
            </w:r>
          </w:p>
        </w:tc>
        <w:tc>
          <w:tcPr>
            <w:tcW w:w="9150" w:type="dxa"/>
            <w:tcBorders>
              <w:top w:val="nil"/>
              <w:left w:val="nil"/>
              <w:bottom w:val="nil"/>
              <w:right w:val="nil"/>
            </w:tcBorders>
            <w:tcMar>
              <w:top w:w="100" w:type="dxa"/>
              <w:left w:w="100" w:type="dxa"/>
              <w:bottom w:w="0" w:type="dxa"/>
              <w:right w:w="220" w:type="dxa"/>
            </w:tcMar>
          </w:tcPr>
          <w:p w:rsidR="006972F2" w:rsidRPr="00E82592" w:rsidRDefault="004441B2" w:rsidP="00077B19">
            <w:pPr>
              <w:spacing w:after="40"/>
              <w:rPr>
                <w:color w:val="FF0000"/>
                <w:sz w:val="21"/>
                <w:szCs w:val="21"/>
                <w:highlight w:val="white"/>
              </w:rPr>
            </w:pPr>
            <w:r w:rsidRPr="00E82592">
              <w:rPr>
                <w:color w:val="5B6770"/>
                <w:sz w:val="21"/>
                <w:szCs w:val="21"/>
                <w:highlight w:val="white"/>
              </w:rPr>
              <w:t xml:space="preserve">Other </w:t>
            </w:r>
            <w:proofErr w:type="gramStart"/>
            <w:r w:rsidRPr="00E82592">
              <w:rPr>
                <w:color w:val="5B6770"/>
                <w:sz w:val="21"/>
                <w:szCs w:val="21"/>
                <w:highlight w:val="white"/>
              </w:rPr>
              <w:t xml:space="preserve">business  </w:t>
            </w:r>
            <w:r w:rsidR="00077B19">
              <w:rPr>
                <w:color w:val="FF0000"/>
                <w:sz w:val="21"/>
                <w:szCs w:val="21"/>
                <w:highlight w:val="white"/>
              </w:rPr>
              <w:t>Next</w:t>
            </w:r>
            <w:proofErr w:type="gramEnd"/>
            <w:r w:rsidR="00077B19">
              <w:rPr>
                <w:color w:val="FF0000"/>
                <w:sz w:val="21"/>
                <w:szCs w:val="21"/>
                <w:highlight w:val="white"/>
              </w:rPr>
              <w:t xml:space="preserve"> meeting will be in the afternoon of June 25.</w:t>
            </w:r>
          </w:p>
        </w:tc>
      </w:tr>
      <w:tr w:rsidR="006972F2" w:rsidRPr="00E82592">
        <w:trPr>
          <w:trHeight w:val="420"/>
        </w:trPr>
        <w:tc>
          <w:tcPr>
            <w:tcW w:w="435" w:type="dxa"/>
            <w:tcBorders>
              <w:top w:val="nil"/>
              <w:left w:val="nil"/>
              <w:bottom w:val="nil"/>
              <w:right w:val="nil"/>
            </w:tcBorders>
            <w:tcMar>
              <w:top w:w="100" w:type="dxa"/>
              <w:left w:w="100" w:type="dxa"/>
              <w:bottom w:w="0" w:type="dxa"/>
              <w:right w:w="80" w:type="dxa"/>
            </w:tcMar>
          </w:tcPr>
          <w:p w:rsidR="006972F2" w:rsidRPr="00E82592" w:rsidRDefault="004441B2" w:rsidP="0054579A">
            <w:pPr>
              <w:spacing w:after="40"/>
              <w:jc w:val="right"/>
              <w:rPr>
                <w:color w:val="5B6770"/>
                <w:sz w:val="21"/>
                <w:szCs w:val="21"/>
                <w:highlight w:val="white"/>
              </w:rPr>
            </w:pPr>
            <w:r w:rsidRPr="00E82592">
              <w:rPr>
                <w:color w:val="5B6770"/>
                <w:sz w:val="21"/>
                <w:szCs w:val="21"/>
                <w:highlight w:val="white"/>
              </w:rPr>
              <w:t>14</w:t>
            </w:r>
          </w:p>
        </w:tc>
        <w:tc>
          <w:tcPr>
            <w:tcW w:w="9150" w:type="dxa"/>
            <w:tcBorders>
              <w:top w:val="nil"/>
              <w:left w:val="nil"/>
              <w:bottom w:val="nil"/>
              <w:right w:val="nil"/>
            </w:tcBorders>
            <w:tcMar>
              <w:top w:w="100" w:type="dxa"/>
              <w:left w:w="100" w:type="dxa"/>
              <w:bottom w:w="0" w:type="dxa"/>
              <w:right w:w="220" w:type="dxa"/>
            </w:tcMar>
          </w:tcPr>
          <w:p w:rsidR="006972F2" w:rsidRPr="00E82592" w:rsidRDefault="004441B2">
            <w:pPr>
              <w:spacing w:after="40"/>
              <w:rPr>
                <w:color w:val="5B6770"/>
                <w:sz w:val="21"/>
                <w:szCs w:val="21"/>
                <w:highlight w:val="white"/>
              </w:rPr>
            </w:pPr>
            <w:r w:rsidRPr="00E82592">
              <w:rPr>
                <w:color w:val="5B6770"/>
                <w:sz w:val="21"/>
                <w:szCs w:val="21"/>
                <w:highlight w:val="white"/>
              </w:rPr>
              <w:t>Adjourn</w:t>
            </w:r>
          </w:p>
        </w:tc>
      </w:tr>
    </w:tbl>
    <w:p w:rsidR="006972F2" w:rsidRDefault="006972F2">
      <w:pPr>
        <w:rPr>
          <w:b/>
          <w:color w:val="5B6770"/>
          <w:sz w:val="21"/>
          <w:szCs w:val="21"/>
          <w:highlight w:val="white"/>
        </w:rPr>
      </w:pPr>
    </w:p>
    <w:sectPr w:rsidR="006972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D18"/>
    <w:multiLevelType w:val="hybridMultilevel"/>
    <w:tmpl w:val="916C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40AE4"/>
    <w:multiLevelType w:val="hybridMultilevel"/>
    <w:tmpl w:val="DEF6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277C7"/>
    <w:multiLevelType w:val="hybridMultilevel"/>
    <w:tmpl w:val="A2AC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647FC"/>
    <w:multiLevelType w:val="hybridMultilevel"/>
    <w:tmpl w:val="B4F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F2"/>
    <w:rsid w:val="000615B7"/>
    <w:rsid w:val="00077B19"/>
    <w:rsid w:val="000E47D4"/>
    <w:rsid w:val="001B2E0F"/>
    <w:rsid w:val="001E7E04"/>
    <w:rsid w:val="002130E3"/>
    <w:rsid w:val="0026532A"/>
    <w:rsid w:val="00291EC3"/>
    <w:rsid w:val="002A4450"/>
    <w:rsid w:val="00340F0F"/>
    <w:rsid w:val="003A543C"/>
    <w:rsid w:val="003A7525"/>
    <w:rsid w:val="003F6B97"/>
    <w:rsid w:val="004441B2"/>
    <w:rsid w:val="00483A4F"/>
    <w:rsid w:val="00497966"/>
    <w:rsid w:val="004A09B5"/>
    <w:rsid w:val="00503A01"/>
    <w:rsid w:val="00510CF4"/>
    <w:rsid w:val="0054044D"/>
    <w:rsid w:val="0054579A"/>
    <w:rsid w:val="005767D9"/>
    <w:rsid w:val="005B0DA2"/>
    <w:rsid w:val="006527B6"/>
    <w:rsid w:val="006972F2"/>
    <w:rsid w:val="006F0C72"/>
    <w:rsid w:val="007C0825"/>
    <w:rsid w:val="007D4FB5"/>
    <w:rsid w:val="008B4120"/>
    <w:rsid w:val="008E75FC"/>
    <w:rsid w:val="008F106D"/>
    <w:rsid w:val="009A0BE6"/>
    <w:rsid w:val="009C4C8B"/>
    <w:rsid w:val="00A16E7C"/>
    <w:rsid w:val="00BD105A"/>
    <w:rsid w:val="00C43EDF"/>
    <w:rsid w:val="00C66092"/>
    <w:rsid w:val="00CA42E8"/>
    <w:rsid w:val="00CE61D8"/>
    <w:rsid w:val="00D85F7B"/>
    <w:rsid w:val="00E00EF6"/>
    <w:rsid w:val="00E10638"/>
    <w:rsid w:val="00E82592"/>
    <w:rsid w:val="00EE4010"/>
    <w:rsid w:val="00F2104D"/>
    <w:rsid w:val="00F8635A"/>
    <w:rsid w:val="00FD68E5"/>
    <w:rsid w:val="00FD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2317"/>
  <w15:docId w15:val="{97318A00-086E-4536-9783-A7BF6B30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6F0C72"/>
    <w:rPr>
      <w:b/>
      <w:bCs/>
    </w:rPr>
  </w:style>
  <w:style w:type="paragraph" w:styleId="ListParagraph">
    <w:name w:val="List Paragraph"/>
    <w:basedOn w:val="Normal"/>
    <w:uiPriority w:val="34"/>
    <w:qFormat/>
    <w:rsid w:val="00540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Austin Energy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 Shuye</dc:creator>
  <cp:lastModifiedBy>Teng, Shuye</cp:lastModifiedBy>
  <cp:revision>40</cp:revision>
  <dcterms:created xsi:type="dcterms:W3CDTF">2019-05-29T16:28:00Z</dcterms:created>
  <dcterms:modified xsi:type="dcterms:W3CDTF">2019-06-19T16:00:00Z</dcterms:modified>
</cp:coreProperties>
</file>