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7B" w:rsidRPr="00E2657B" w:rsidRDefault="00E2657B" w:rsidP="00E2657B">
      <w:pPr>
        <w:jc w:val="center"/>
        <w:rPr>
          <w:b/>
          <w:bCs/>
          <w:color w:val="0070C0"/>
          <w:sz w:val="36"/>
          <w:szCs w:val="36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2657B">
        <w:rPr>
          <w:b/>
          <w:bCs/>
          <w:color w:val="0070C0"/>
          <w:sz w:val="36"/>
          <w:szCs w:val="36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MSWG Meeting Notes</w:t>
      </w:r>
    </w:p>
    <w:p w:rsidR="00E2657B" w:rsidRDefault="00E2657B" w:rsidP="00E2657B">
      <w:pPr>
        <w:spacing w:before="120"/>
        <w:jc w:val="center"/>
        <w:rPr>
          <w:color w:val="000000"/>
          <w:sz w:val="21"/>
          <w:szCs w:val="21"/>
          <w:shd w:val="clear" w:color="auto" w:fill="FFFFFF"/>
        </w:rPr>
      </w:pPr>
      <w:r>
        <w:rPr>
          <w:rStyle w:val="Strong"/>
          <w:color w:val="000000"/>
          <w:sz w:val="21"/>
          <w:szCs w:val="21"/>
          <w:shd w:val="clear" w:color="auto" w:fill="FFFFFF"/>
        </w:rPr>
        <w:t xml:space="preserve">Meeting Date: </w:t>
      </w:r>
      <w:r>
        <w:rPr>
          <w:rStyle w:val="Strong"/>
          <w:color w:val="000000"/>
          <w:sz w:val="21"/>
          <w:szCs w:val="21"/>
          <w:shd w:val="clear" w:color="auto" w:fill="FFFFFF"/>
        </w:rPr>
        <w:t>March</w:t>
      </w:r>
      <w:r>
        <w:rPr>
          <w:rStyle w:val="Strong"/>
          <w:color w:val="000000"/>
          <w:sz w:val="21"/>
          <w:szCs w:val="21"/>
          <w:shd w:val="clear" w:color="auto" w:fill="FFFFFF"/>
        </w:rPr>
        <w:t xml:space="preserve"> 26, 2019</w:t>
      </w:r>
    </w:p>
    <w:p w:rsidR="00CF6F2F" w:rsidRDefault="00CF6F2F"/>
    <w:p w:rsidR="00CF6F2F" w:rsidRDefault="005F3368">
      <w:pPr>
        <w:pStyle w:val="Heading5"/>
        <w:keepNext w:val="0"/>
        <w:keepLines w:val="0"/>
        <w:pBdr>
          <w:top w:val="none" w:sz="0" w:space="1" w:color="auto"/>
          <w:bottom w:val="none" w:sz="0" w:space="3" w:color="auto"/>
        </w:pBdr>
        <w:shd w:val="clear" w:color="auto" w:fill="FFFFFF"/>
        <w:spacing w:before="0" w:after="0"/>
        <w:rPr>
          <w:b/>
          <w:color w:val="5B6770"/>
          <w:sz w:val="21"/>
          <w:szCs w:val="21"/>
        </w:rPr>
      </w:pPr>
      <w:bookmarkStart w:id="0" w:name="_blt8obn4bnhf" w:colFirst="0" w:colLast="0"/>
      <w:bookmarkEnd w:id="0"/>
      <w:r>
        <w:rPr>
          <w:b/>
          <w:color w:val="5B6770"/>
          <w:sz w:val="21"/>
          <w:szCs w:val="21"/>
        </w:rPr>
        <w:t>Agenda</w:t>
      </w:r>
    </w:p>
    <w:tbl>
      <w:tblPr>
        <w:tblStyle w:val="a0"/>
        <w:tblW w:w="926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9"/>
        <w:gridCol w:w="8821"/>
      </w:tblGrid>
      <w:tr w:rsidR="00AC4F98" w:rsidTr="00214234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AC4F98" w:rsidRDefault="00AC4F98">
            <w:pPr>
              <w:spacing w:after="4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220" w:type="dxa"/>
            </w:tcMar>
          </w:tcPr>
          <w:p w:rsidR="00AC4F98" w:rsidRDefault="00AC4F98">
            <w:pPr>
              <w:spacing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Antitrust Admonition</w:t>
            </w:r>
          </w:p>
        </w:tc>
      </w:tr>
      <w:tr w:rsidR="00AC4F98" w:rsidTr="00214234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AC4F98" w:rsidRDefault="00AC4F98">
            <w:pPr>
              <w:spacing w:after="4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220" w:type="dxa"/>
            </w:tcMar>
          </w:tcPr>
          <w:p w:rsidR="00AC4F98" w:rsidRDefault="00AC4F98">
            <w:pPr>
              <w:spacing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Agenda Review and Roll Call</w:t>
            </w:r>
          </w:p>
          <w:p w:rsidR="004F0854" w:rsidRPr="004F0854" w:rsidRDefault="004F0854">
            <w:p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Admonition read; Role taken; All agenda items discussed.</w:t>
            </w:r>
          </w:p>
        </w:tc>
      </w:tr>
      <w:tr w:rsidR="00AC4F98" w:rsidTr="00214234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AC4F98" w:rsidRDefault="00AC4F98">
            <w:pPr>
              <w:spacing w:after="4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220" w:type="dxa"/>
            </w:tcMar>
          </w:tcPr>
          <w:p w:rsidR="00AC4F98" w:rsidRDefault="00AC4F98">
            <w:pPr>
              <w:spacing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Review of last meeting’s notes</w:t>
            </w:r>
          </w:p>
          <w:p w:rsidR="004F0854" w:rsidRPr="004F0854" w:rsidRDefault="004F0854" w:rsidP="004F0854">
            <w:p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The group reviewed February 26 meeting’s notes briefly.  No comments/changes made.</w:t>
            </w:r>
          </w:p>
        </w:tc>
      </w:tr>
      <w:tr w:rsidR="00AC4F98" w:rsidTr="00214234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AC4F98" w:rsidRDefault="00AC4F98">
            <w:pPr>
              <w:spacing w:after="4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220" w:type="dxa"/>
            </w:tcMar>
          </w:tcPr>
          <w:p w:rsidR="00AC4F98" w:rsidRPr="0062723E" w:rsidRDefault="0062723E">
            <w:p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WMS Update</w:t>
            </w:r>
          </w:p>
          <w:p w:rsidR="0062723E" w:rsidRPr="00115BC5" w:rsidRDefault="0062723E" w:rsidP="00115BC5">
            <w:pPr>
              <w:pStyle w:val="ListParagraph"/>
              <w:numPr>
                <w:ilvl w:val="0"/>
                <w:numId w:val="1"/>
              </w:numPr>
              <w:spacing w:after="40"/>
              <w:rPr>
                <w:color w:val="FF0000"/>
                <w:sz w:val="21"/>
                <w:szCs w:val="21"/>
              </w:rPr>
            </w:pPr>
            <w:r w:rsidRPr="00115BC5">
              <w:rPr>
                <w:color w:val="FF0000"/>
                <w:sz w:val="21"/>
                <w:szCs w:val="21"/>
              </w:rPr>
              <w:t>MSWG will continue as a WMS working group.</w:t>
            </w:r>
          </w:p>
          <w:p w:rsidR="00AC4F98" w:rsidRPr="00115BC5" w:rsidRDefault="00A2418C" w:rsidP="00115BC5">
            <w:pPr>
              <w:pStyle w:val="ListParagraph"/>
              <w:numPr>
                <w:ilvl w:val="0"/>
                <w:numId w:val="1"/>
              </w:numPr>
              <w:spacing w:after="40"/>
              <w:rPr>
                <w:color w:val="FF0000"/>
                <w:sz w:val="21"/>
                <w:szCs w:val="21"/>
              </w:rPr>
            </w:pPr>
            <w:r w:rsidRPr="00115BC5">
              <w:rPr>
                <w:color w:val="FF0000"/>
                <w:sz w:val="21"/>
                <w:szCs w:val="21"/>
              </w:rPr>
              <w:t>MSWG w</w:t>
            </w:r>
            <w:r w:rsidR="00AC4F98" w:rsidRPr="00115BC5">
              <w:rPr>
                <w:color w:val="FF0000"/>
                <w:sz w:val="21"/>
                <w:szCs w:val="21"/>
              </w:rPr>
              <w:t>ill not merge with MWG.</w:t>
            </w:r>
          </w:p>
          <w:p w:rsidR="00AC4F98" w:rsidRPr="00115BC5" w:rsidRDefault="00A2418C" w:rsidP="00115BC5">
            <w:pPr>
              <w:pStyle w:val="ListParagraph"/>
              <w:numPr>
                <w:ilvl w:val="0"/>
                <w:numId w:val="1"/>
              </w:numPr>
              <w:spacing w:after="40"/>
              <w:rPr>
                <w:color w:val="FF0000"/>
                <w:sz w:val="21"/>
                <w:szCs w:val="21"/>
              </w:rPr>
            </w:pPr>
            <w:r w:rsidRPr="00115BC5">
              <w:rPr>
                <w:color w:val="FF0000"/>
                <w:sz w:val="21"/>
                <w:szCs w:val="21"/>
              </w:rPr>
              <w:t>MSWG’s revised s</w:t>
            </w:r>
            <w:r w:rsidR="00AC4F98" w:rsidRPr="00115BC5">
              <w:rPr>
                <w:color w:val="FF0000"/>
                <w:sz w:val="21"/>
                <w:szCs w:val="21"/>
              </w:rPr>
              <w:t xml:space="preserve">cope </w:t>
            </w:r>
            <w:proofErr w:type="gramStart"/>
            <w:r w:rsidR="00AC4F98" w:rsidRPr="00115BC5">
              <w:rPr>
                <w:color w:val="FF0000"/>
                <w:sz w:val="21"/>
                <w:szCs w:val="21"/>
              </w:rPr>
              <w:t>was approved</w:t>
            </w:r>
            <w:proofErr w:type="gramEnd"/>
            <w:r w:rsidR="00AC4F98" w:rsidRPr="00115BC5">
              <w:rPr>
                <w:color w:val="FF0000"/>
                <w:sz w:val="21"/>
                <w:szCs w:val="21"/>
              </w:rPr>
              <w:t xml:space="preserve"> by WMS.</w:t>
            </w:r>
          </w:p>
          <w:p w:rsidR="00AC4F98" w:rsidRPr="00115BC5" w:rsidRDefault="00AC4F98" w:rsidP="00115BC5">
            <w:pPr>
              <w:pStyle w:val="ListParagraph"/>
              <w:numPr>
                <w:ilvl w:val="0"/>
                <w:numId w:val="1"/>
              </w:numPr>
              <w:spacing w:after="40"/>
              <w:rPr>
                <w:color w:val="FF0000"/>
                <w:sz w:val="21"/>
                <w:szCs w:val="21"/>
              </w:rPr>
            </w:pPr>
            <w:r w:rsidRPr="00115BC5">
              <w:rPr>
                <w:color w:val="FF0000"/>
                <w:sz w:val="21"/>
                <w:szCs w:val="21"/>
              </w:rPr>
              <w:t>NPRR917</w:t>
            </w:r>
            <w:r w:rsidR="00A2418C" w:rsidRPr="00115BC5">
              <w:rPr>
                <w:color w:val="FF0000"/>
                <w:sz w:val="21"/>
                <w:szCs w:val="21"/>
              </w:rPr>
              <w:t>: ERCOT comments include all</w:t>
            </w:r>
            <w:r w:rsidRPr="00115BC5">
              <w:rPr>
                <w:color w:val="FF0000"/>
                <w:sz w:val="21"/>
                <w:szCs w:val="21"/>
              </w:rPr>
              <w:t xml:space="preserve"> comments</w:t>
            </w:r>
            <w:r w:rsidR="00A2418C" w:rsidRPr="00115BC5">
              <w:rPr>
                <w:color w:val="FF0000"/>
                <w:sz w:val="21"/>
                <w:szCs w:val="21"/>
              </w:rPr>
              <w:t xml:space="preserve"> from MSWG</w:t>
            </w:r>
            <w:r w:rsidR="00A31E57" w:rsidRPr="00115BC5">
              <w:rPr>
                <w:color w:val="FF0000"/>
                <w:sz w:val="21"/>
                <w:szCs w:val="21"/>
              </w:rPr>
              <w:t>.</w:t>
            </w:r>
            <w:r w:rsidR="00115BC5">
              <w:rPr>
                <w:color w:val="FF0000"/>
                <w:sz w:val="21"/>
                <w:szCs w:val="21"/>
              </w:rPr>
              <w:t xml:space="preserve">  Questions remain around how pricing and other data will flow to QSEs and </w:t>
            </w:r>
            <w:proofErr w:type="spellStart"/>
            <w:r w:rsidR="00115BC5">
              <w:rPr>
                <w:color w:val="FF0000"/>
                <w:sz w:val="21"/>
                <w:szCs w:val="21"/>
              </w:rPr>
              <w:t>REs</w:t>
            </w:r>
            <w:r w:rsidR="005E0455">
              <w:rPr>
                <w:color w:val="FF0000"/>
                <w:sz w:val="21"/>
                <w:szCs w:val="21"/>
              </w:rPr>
              <w:t>.</w:t>
            </w:r>
            <w:proofErr w:type="spellEnd"/>
          </w:p>
          <w:p w:rsidR="00AC4F98" w:rsidRDefault="005E0455" w:rsidP="00115BC5">
            <w:pPr>
              <w:pStyle w:val="ListParagraph"/>
              <w:numPr>
                <w:ilvl w:val="0"/>
                <w:numId w:val="1"/>
              </w:num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3/6/19 </w:t>
            </w:r>
            <w:r w:rsidR="00AC4F98" w:rsidRPr="00115BC5">
              <w:rPr>
                <w:color w:val="FF0000"/>
                <w:sz w:val="21"/>
                <w:szCs w:val="21"/>
              </w:rPr>
              <w:t>RTC workshop settlement takeaways</w:t>
            </w:r>
            <w:r>
              <w:rPr>
                <w:color w:val="FF0000"/>
                <w:sz w:val="21"/>
                <w:szCs w:val="21"/>
              </w:rPr>
              <w:t xml:space="preserve"> (see Heather’s presentation posted on MSWG meeting page).</w:t>
            </w:r>
          </w:p>
          <w:p w:rsidR="005E0455" w:rsidRPr="00115BC5" w:rsidRDefault="005E0455" w:rsidP="00115BC5">
            <w:pPr>
              <w:pStyle w:val="ListParagraph"/>
              <w:numPr>
                <w:ilvl w:val="0"/>
                <w:numId w:val="1"/>
              </w:num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Updates for implementation of NPRR845 (eff. 4/5/19).  ERCOT provided 30-day notification.  Settlement matrix </w:t>
            </w:r>
            <w:proofErr w:type="gramStart"/>
            <w:r>
              <w:rPr>
                <w:color w:val="FF0000"/>
                <w:sz w:val="21"/>
                <w:szCs w:val="21"/>
              </w:rPr>
              <w:t>was updated</w:t>
            </w:r>
            <w:proofErr w:type="gramEnd"/>
            <w:r>
              <w:rPr>
                <w:color w:val="FF0000"/>
                <w:sz w:val="21"/>
                <w:szCs w:val="21"/>
              </w:rPr>
              <w:t>.</w:t>
            </w:r>
          </w:p>
        </w:tc>
      </w:tr>
      <w:tr w:rsidR="00AC4F98" w:rsidTr="00214234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AC4F98" w:rsidRDefault="00AC4F98">
            <w:pPr>
              <w:spacing w:after="4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220" w:type="dxa"/>
            </w:tcMar>
          </w:tcPr>
          <w:p w:rsidR="00AC4F98" w:rsidRDefault="00AC4F98">
            <w:pPr>
              <w:spacing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 Transparency SLA (for approval)</w:t>
            </w:r>
          </w:p>
          <w:p w:rsidR="009E4771" w:rsidRDefault="009E4771" w:rsidP="009E4771">
            <w:p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Release calendar </w:t>
            </w:r>
            <w:proofErr w:type="gramStart"/>
            <w:r>
              <w:rPr>
                <w:color w:val="FF0000"/>
                <w:sz w:val="21"/>
                <w:szCs w:val="21"/>
              </w:rPr>
              <w:t>has been updated</w:t>
            </w:r>
            <w:proofErr w:type="gramEnd"/>
            <w:r>
              <w:rPr>
                <w:color w:val="FF0000"/>
                <w:sz w:val="21"/>
                <w:szCs w:val="21"/>
              </w:rPr>
              <w:t xml:space="preserve"> in the SLA. (</w:t>
            </w:r>
            <w:r>
              <w:rPr>
                <w:color w:val="FF0000"/>
                <w:sz w:val="21"/>
                <w:szCs w:val="21"/>
              </w:rPr>
              <w:t>Weekend releases are retail release</w:t>
            </w:r>
            <w:r>
              <w:rPr>
                <w:color w:val="FF0000"/>
                <w:sz w:val="21"/>
                <w:szCs w:val="21"/>
              </w:rPr>
              <w:t>;</w:t>
            </w:r>
          </w:p>
          <w:p w:rsidR="009E4771" w:rsidRDefault="009E4771" w:rsidP="009E4771">
            <w:p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Weekday releases (Tues - Thurs) MIS and oth</w:t>
            </w:r>
            <w:r>
              <w:rPr>
                <w:color w:val="FF0000"/>
                <w:sz w:val="21"/>
                <w:szCs w:val="21"/>
              </w:rPr>
              <w:t>er market facing applications.</w:t>
            </w:r>
            <w:r>
              <w:rPr>
                <w:color w:val="FF0000"/>
                <w:sz w:val="21"/>
                <w:szCs w:val="21"/>
              </w:rPr>
              <w:t>)</w:t>
            </w:r>
          </w:p>
          <w:p w:rsidR="00AC4F98" w:rsidRDefault="00AC4F98">
            <w:p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ERCOT maintains two SLA</w:t>
            </w:r>
            <w:r w:rsidR="009E4771">
              <w:rPr>
                <w:color w:val="FF0000"/>
                <w:sz w:val="21"/>
                <w:szCs w:val="21"/>
              </w:rPr>
              <w:t>s</w:t>
            </w:r>
            <w:r>
              <w:rPr>
                <w:color w:val="FF0000"/>
                <w:sz w:val="21"/>
                <w:szCs w:val="21"/>
              </w:rPr>
              <w:t>.  One for retail.  The other is this</w:t>
            </w:r>
            <w:r w:rsidR="009E4771">
              <w:rPr>
                <w:color w:val="FF0000"/>
                <w:sz w:val="21"/>
                <w:szCs w:val="21"/>
              </w:rPr>
              <w:t xml:space="preserve"> document</w:t>
            </w:r>
            <w:r>
              <w:rPr>
                <w:color w:val="FF0000"/>
                <w:sz w:val="21"/>
                <w:szCs w:val="21"/>
              </w:rPr>
              <w:t>.</w:t>
            </w:r>
          </w:p>
          <w:p w:rsidR="009E4771" w:rsidRDefault="009E4771">
            <w:p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This document </w:t>
            </w:r>
            <w:proofErr w:type="gramStart"/>
            <w:r>
              <w:rPr>
                <w:color w:val="FF0000"/>
                <w:sz w:val="21"/>
                <w:szCs w:val="21"/>
              </w:rPr>
              <w:t>was previously reviewed</w:t>
            </w:r>
            <w:proofErr w:type="gramEnd"/>
            <w:r w:rsidR="00AC4F98">
              <w:rPr>
                <w:color w:val="FF0000"/>
                <w:sz w:val="21"/>
                <w:szCs w:val="21"/>
              </w:rPr>
              <w:t xml:space="preserve"> with CSWG and COPS.  </w:t>
            </w:r>
          </w:p>
          <w:p w:rsidR="00AC4F98" w:rsidRDefault="00AC4F98">
            <w:p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MSWG cannot approve this</w:t>
            </w:r>
            <w:r w:rsidR="009E4771">
              <w:rPr>
                <w:color w:val="FF0000"/>
                <w:sz w:val="21"/>
                <w:szCs w:val="21"/>
              </w:rPr>
              <w:t xml:space="preserve"> document</w:t>
            </w:r>
            <w:r>
              <w:rPr>
                <w:color w:val="FF0000"/>
                <w:sz w:val="21"/>
                <w:szCs w:val="21"/>
              </w:rPr>
              <w:t xml:space="preserve">, but can </w:t>
            </w:r>
            <w:r w:rsidR="009E4771">
              <w:rPr>
                <w:color w:val="FF0000"/>
                <w:sz w:val="21"/>
                <w:szCs w:val="21"/>
              </w:rPr>
              <w:t>recommend</w:t>
            </w:r>
            <w:r>
              <w:rPr>
                <w:color w:val="FF0000"/>
                <w:sz w:val="21"/>
                <w:szCs w:val="21"/>
              </w:rPr>
              <w:t xml:space="preserve"> WMS to approve it.</w:t>
            </w:r>
          </w:p>
          <w:p w:rsidR="00AC4F98" w:rsidRDefault="009E4771">
            <w:p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Heather to take SLA to WMS and </w:t>
            </w:r>
            <w:r>
              <w:rPr>
                <w:color w:val="FF0000"/>
                <w:sz w:val="21"/>
                <w:szCs w:val="21"/>
              </w:rPr>
              <w:t>recommend approval</w:t>
            </w:r>
            <w:r>
              <w:rPr>
                <w:color w:val="FF0000"/>
                <w:sz w:val="21"/>
                <w:szCs w:val="21"/>
              </w:rPr>
              <w:t xml:space="preserve">.  </w:t>
            </w:r>
            <w:proofErr w:type="gramStart"/>
            <w:r>
              <w:rPr>
                <w:color w:val="FF0000"/>
                <w:sz w:val="21"/>
                <w:szCs w:val="21"/>
              </w:rPr>
              <w:t>May be voted</w:t>
            </w:r>
            <w:proofErr w:type="gramEnd"/>
            <w:r>
              <w:rPr>
                <w:color w:val="FF0000"/>
                <w:sz w:val="21"/>
                <w:szCs w:val="21"/>
              </w:rPr>
              <w:t xml:space="preserve"> in the following WMS.</w:t>
            </w:r>
          </w:p>
          <w:p w:rsidR="00AC4F98" w:rsidRDefault="001F0241">
            <w:p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There was also a brief discussion on whether and how extract incidents (posted late, not posting, or reposted) </w:t>
            </w:r>
            <w:proofErr w:type="gramStart"/>
            <w:r>
              <w:rPr>
                <w:color w:val="FF0000"/>
                <w:sz w:val="21"/>
                <w:szCs w:val="21"/>
              </w:rPr>
              <w:t>should be reported</w:t>
            </w:r>
            <w:proofErr w:type="gramEnd"/>
            <w:r>
              <w:rPr>
                <w:color w:val="FF0000"/>
                <w:sz w:val="21"/>
                <w:szCs w:val="21"/>
              </w:rPr>
              <w:t xml:space="preserve"> to MSWG.  ERCOT used to go through the Extract Report Incident Log at MSWG meetings</w:t>
            </w:r>
            <w:r w:rsidR="00AC4F98">
              <w:rPr>
                <w:color w:val="FF0000"/>
                <w:sz w:val="21"/>
                <w:szCs w:val="21"/>
              </w:rPr>
              <w:t>.</w:t>
            </w:r>
            <w:r w:rsidR="00E758E2">
              <w:rPr>
                <w:color w:val="FF0000"/>
                <w:sz w:val="21"/>
                <w:szCs w:val="21"/>
              </w:rPr>
              <w:t xml:space="preserve">  Currently ERCOT presents this log at RMS and TDTMS.  Maybe a Market Notice from ERCOT on the topic and referring to the report, and asking ERCOT to present on an as-needed basis at MSWG, will meet MSWG’s needs.</w:t>
            </w:r>
          </w:p>
        </w:tc>
      </w:tr>
      <w:tr w:rsidR="00AC4F98" w:rsidTr="00214234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AC4F98" w:rsidRDefault="00AC4F98">
            <w:pPr>
              <w:spacing w:after="4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220" w:type="dxa"/>
            </w:tcMar>
          </w:tcPr>
          <w:p w:rsidR="00AC4F98" w:rsidRDefault="00AC4F98">
            <w:pPr>
              <w:spacing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 Flight NPRRs with Settlement Impacts</w:t>
            </w:r>
          </w:p>
        </w:tc>
      </w:tr>
      <w:tr w:rsidR="00AC4F98" w:rsidTr="00214234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AC4F98" w:rsidRDefault="00AC4F98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0" w:type="dxa"/>
              <w:bottom w:w="0" w:type="dxa"/>
              <w:right w:w="220" w:type="dxa"/>
            </w:tcMar>
          </w:tcPr>
          <w:p w:rsidR="00AC4F98" w:rsidRDefault="00AC4F98" w:rsidP="0096736F">
            <w:p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NPRR866 (load net data sufficiency for QSEs) </w:t>
            </w:r>
            <w:r w:rsidR="0096736F">
              <w:rPr>
                <w:color w:val="FF0000"/>
                <w:sz w:val="21"/>
                <w:szCs w:val="21"/>
              </w:rPr>
              <w:t xml:space="preserve">Effective on 4/5/2019.  </w:t>
            </w:r>
            <w:r>
              <w:rPr>
                <w:color w:val="FF0000"/>
                <w:sz w:val="21"/>
                <w:szCs w:val="21"/>
              </w:rPr>
              <w:t>New registrations will be SODG.</w:t>
            </w:r>
            <w:r w:rsidR="0096736F">
              <w:rPr>
                <w:color w:val="FF0000"/>
                <w:sz w:val="21"/>
                <w:szCs w:val="21"/>
              </w:rPr>
              <w:t xml:space="preserve">  </w:t>
            </w:r>
            <w:r>
              <w:rPr>
                <w:color w:val="FF0000"/>
                <w:sz w:val="21"/>
                <w:szCs w:val="21"/>
              </w:rPr>
              <w:t xml:space="preserve">RE representing </w:t>
            </w:r>
            <w:proofErr w:type="gramStart"/>
            <w:r>
              <w:rPr>
                <w:color w:val="FF0000"/>
                <w:sz w:val="21"/>
                <w:szCs w:val="21"/>
              </w:rPr>
              <w:t>DG</w:t>
            </w:r>
            <w:proofErr w:type="gramEnd"/>
            <w:r>
              <w:rPr>
                <w:color w:val="FF0000"/>
                <w:sz w:val="21"/>
                <w:szCs w:val="21"/>
              </w:rPr>
              <w:t xml:space="preserve"> facility is required to pr</w:t>
            </w:r>
            <w:r w:rsidR="0096736F">
              <w:rPr>
                <w:color w:val="FF0000"/>
                <w:sz w:val="21"/>
                <w:szCs w:val="21"/>
              </w:rPr>
              <w:t>ovide ERCOT, DSP, TSP info.  Question:</w:t>
            </w:r>
            <w:r>
              <w:rPr>
                <w:color w:val="FF0000"/>
                <w:sz w:val="21"/>
                <w:szCs w:val="21"/>
              </w:rPr>
              <w:t xml:space="preserve"> how will QSE will fi</w:t>
            </w:r>
            <w:r w:rsidR="0096736F">
              <w:rPr>
                <w:color w:val="FF0000"/>
                <w:sz w:val="21"/>
                <w:szCs w:val="21"/>
              </w:rPr>
              <w:t>t in this picture?  --- ERCOT: T</w:t>
            </w:r>
            <w:r>
              <w:rPr>
                <w:color w:val="FF0000"/>
                <w:sz w:val="21"/>
                <w:szCs w:val="21"/>
              </w:rPr>
              <w:t>his does not chan</w:t>
            </w:r>
            <w:r w:rsidR="0096736F">
              <w:rPr>
                <w:color w:val="FF0000"/>
                <w:sz w:val="21"/>
                <w:szCs w:val="21"/>
              </w:rPr>
              <w:t>ge anything in settlement.  It only</w:t>
            </w:r>
            <w:r>
              <w:rPr>
                <w:color w:val="FF0000"/>
                <w:sz w:val="21"/>
                <w:szCs w:val="21"/>
              </w:rPr>
              <w:t xml:space="preserve"> requires DSP/TSP to map distribution system to transmission system.  </w:t>
            </w:r>
            <w:r w:rsidR="0096736F">
              <w:rPr>
                <w:color w:val="FF0000"/>
                <w:sz w:val="21"/>
                <w:szCs w:val="21"/>
              </w:rPr>
              <w:t>Maybe useful if we ever move in</w:t>
            </w:r>
            <w:r>
              <w:rPr>
                <w:color w:val="FF0000"/>
                <w:sz w:val="21"/>
                <w:szCs w:val="21"/>
              </w:rPr>
              <w:t xml:space="preserve">to nodal pricing for DGs.  </w:t>
            </w:r>
            <w:r w:rsidR="0096736F">
              <w:rPr>
                <w:color w:val="FF0000"/>
                <w:sz w:val="21"/>
                <w:szCs w:val="21"/>
              </w:rPr>
              <w:t>DGs s</w:t>
            </w:r>
            <w:r>
              <w:rPr>
                <w:color w:val="FF0000"/>
                <w:sz w:val="21"/>
                <w:szCs w:val="21"/>
              </w:rPr>
              <w:t>till get GSITETOT.</w:t>
            </w:r>
          </w:p>
        </w:tc>
      </w:tr>
      <w:tr w:rsidR="00AC4F98" w:rsidTr="00214234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AC4F98" w:rsidRDefault="00AC4F98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0" w:type="dxa"/>
              <w:bottom w:w="0" w:type="dxa"/>
              <w:right w:w="220" w:type="dxa"/>
            </w:tcMar>
          </w:tcPr>
          <w:p w:rsidR="00AC4F98" w:rsidRDefault="00AC4F98">
            <w:p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Matrix review NPRR845 (RMR) </w:t>
            </w:r>
            <w:proofErr w:type="spellStart"/>
            <w:r>
              <w:rPr>
                <w:sz w:val="21"/>
                <w:szCs w:val="21"/>
              </w:rPr>
              <w:t>Misc</w:t>
            </w:r>
            <w:proofErr w:type="spellEnd"/>
            <w:r>
              <w:rPr>
                <w:sz w:val="21"/>
                <w:szCs w:val="21"/>
              </w:rPr>
              <w:t xml:space="preserve"> Invoice  </w:t>
            </w:r>
          </w:p>
          <w:p w:rsidR="00AC4F98" w:rsidRDefault="009D62A4">
            <w:p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There will be a one-</w:t>
            </w:r>
            <w:r w:rsidR="00AC4F98">
              <w:rPr>
                <w:color w:val="FF0000"/>
                <w:sz w:val="21"/>
                <w:szCs w:val="21"/>
              </w:rPr>
              <w:t xml:space="preserve">time </w:t>
            </w:r>
            <w:r>
              <w:rPr>
                <w:color w:val="FF0000"/>
                <w:sz w:val="21"/>
                <w:szCs w:val="21"/>
              </w:rPr>
              <w:t>misc.</w:t>
            </w:r>
            <w:r w:rsidR="00AC4F98">
              <w:rPr>
                <w:color w:val="FF0000"/>
                <w:sz w:val="21"/>
                <w:szCs w:val="21"/>
              </w:rPr>
              <w:t xml:space="preserve"> invoice for the whole contract after the conclusion of RMR contract.</w:t>
            </w:r>
          </w:p>
          <w:p w:rsidR="00AC4F98" w:rsidRDefault="009D62A4">
            <w:p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The WORD version of </w:t>
            </w:r>
            <w:r>
              <w:rPr>
                <w:color w:val="FF0000"/>
                <w:sz w:val="21"/>
                <w:szCs w:val="21"/>
              </w:rPr>
              <w:t>Settl</w:t>
            </w:r>
            <w:r>
              <w:rPr>
                <w:color w:val="FF0000"/>
                <w:sz w:val="21"/>
                <w:szCs w:val="21"/>
              </w:rPr>
              <w:t>e</w:t>
            </w:r>
            <w:r>
              <w:rPr>
                <w:color w:val="FF0000"/>
                <w:sz w:val="21"/>
                <w:szCs w:val="21"/>
              </w:rPr>
              <w:t>ment</w:t>
            </w:r>
            <w:r>
              <w:rPr>
                <w:color w:val="FF0000"/>
                <w:sz w:val="21"/>
                <w:szCs w:val="21"/>
              </w:rPr>
              <w:t>s M</w:t>
            </w:r>
            <w:r>
              <w:rPr>
                <w:color w:val="FF0000"/>
                <w:sz w:val="21"/>
                <w:szCs w:val="21"/>
              </w:rPr>
              <w:t xml:space="preserve">atrix </w:t>
            </w:r>
            <w:proofErr w:type="gramStart"/>
            <w:r>
              <w:rPr>
                <w:color w:val="FF0000"/>
                <w:sz w:val="21"/>
                <w:szCs w:val="21"/>
              </w:rPr>
              <w:t>has been updated</w:t>
            </w:r>
            <w:proofErr w:type="gramEnd"/>
            <w:r>
              <w:rPr>
                <w:color w:val="FF0000"/>
                <w:sz w:val="21"/>
                <w:szCs w:val="21"/>
              </w:rPr>
              <w:t>.</w:t>
            </w:r>
            <w:r>
              <w:rPr>
                <w:color w:val="FF0000"/>
                <w:sz w:val="21"/>
                <w:szCs w:val="21"/>
              </w:rPr>
              <w:t xml:space="preserve">  </w:t>
            </w:r>
            <w:r w:rsidR="00AC4F98">
              <w:rPr>
                <w:color w:val="FF0000"/>
                <w:sz w:val="21"/>
                <w:szCs w:val="21"/>
              </w:rPr>
              <w:t xml:space="preserve">Some </w:t>
            </w:r>
            <w:r>
              <w:rPr>
                <w:color w:val="FF0000"/>
                <w:sz w:val="21"/>
                <w:szCs w:val="21"/>
              </w:rPr>
              <w:t>formatting</w:t>
            </w:r>
            <w:r w:rsidR="00AC4F98">
              <w:rPr>
                <w:color w:val="FF0000"/>
                <w:sz w:val="21"/>
                <w:szCs w:val="21"/>
              </w:rPr>
              <w:t xml:space="preserve"> issues in the settleme</w:t>
            </w:r>
            <w:r>
              <w:rPr>
                <w:color w:val="FF0000"/>
                <w:sz w:val="21"/>
                <w:szCs w:val="21"/>
              </w:rPr>
              <w:t xml:space="preserve">nt matrix </w:t>
            </w:r>
            <w:proofErr w:type="gramStart"/>
            <w:r>
              <w:rPr>
                <w:color w:val="FF0000"/>
                <w:sz w:val="21"/>
                <w:szCs w:val="21"/>
              </w:rPr>
              <w:t>have been fixed</w:t>
            </w:r>
            <w:proofErr w:type="gramEnd"/>
            <w:r>
              <w:rPr>
                <w:color w:val="FF0000"/>
                <w:sz w:val="21"/>
                <w:szCs w:val="21"/>
              </w:rPr>
              <w:t xml:space="preserve"> and the document</w:t>
            </w:r>
            <w:r w:rsidR="00AC4F98">
              <w:rPr>
                <w:color w:val="FF0000"/>
                <w:sz w:val="21"/>
                <w:szCs w:val="21"/>
              </w:rPr>
              <w:t xml:space="preserve"> is in good shape now.</w:t>
            </w:r>
          </w:p>
          <w:p w:rsidR="00AC4F98" w:rsidRDefault="00AC4F98">
            <w:p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RMRHREAF: RMREH </w:t>
            </w:r>
            <w:proofErr w:type="gramStart"/>
            <w:r>
              <w:rPr>
                <w:color w:val="FF0000"/>
                <w:sz w:val="21"/>
                <w:szCs w:val="21"/>
              </w:rPr>
              <w:t>is not defined</w:t>
            </w:r>
            <w:proofErr w:type="gramEnd"/>
            <w:r>
              <w:rPr>
                <w:color w:val="FF0000"/>
                <w:sz w:val="21"/>
                <w:szCs w:val="21"/>
              </w:rPr>
              <w:t xml:space="preserve"> in the Nodal Protocols.  RMRE</w:t>
            </w:r>
            <w:r w:rsidR="009D62A4">
              <w:rPr>
                <w:color w:val="FF0000"/>
                <w:sz w:val="21"/>
                <w:szCs w:val="21"/>
              </w:rPr>
              <w:t>H Is an existing determinant.  It c</w:t>
            </w:r>
            <w:r>
              <w:rPr>
                <w:color w:val="FF0000"/>
                <w:sz w:val="21"/>
                <w:szCs w:val="21"/>
              </w:rPr>
              <w:t>omes from RMR contract data.</w:t>
            </w:r>
          </w:p>
        </w:tc>
      </w:tr>
      <w:tr w:rsidR="00AC4F98" w:rsidTr="00214234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AC4F98" w:rsidRDefault="00AC4F98">
            <w:pPr>
              <w:spacing w:after="4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220" w:type="dxa"/>
            </w:tcMar>
          </w:tcPr>
          <w:p w:rsidR="00AC4F98" w:rsidRDefault="00AC4F98">
            <w:pPr>
              <w:spacing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NPRR921 and removal of "All-Inclusive"</w:t>
            </w:r>
          </w:p>
          <w:p w:rsidR="00AC4F98" w:rsidRDefault="00AC4F98">
            <w:p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PUNCAP: PUNs are all transmission connected.  Instead of SOG, should be SOTG or SOTSG.  ERCOT will review.</w:t>
            </w:r>
          </w:p>
          <w:p w:rsidR="00AC4F98" w:rsidRDefault="00AC4F98">
            <w:p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PUNCAP is not in settlement system.  ERCOT does not think this is a settlement issue.</w:t>
            </w:r>
          </w:p>
        </w:tc>
      </w:tr>
      <w:tr w:rsidR="00AC4F98" w:rsidTr="00214234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AC4F98" w:rsidRDefault="00AC4F98">
            <w:pPr>
              <w:spacing w:after="4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220" w:type="dxa"/>
            </w:tcMar>
          </w:tcPr>
          <w:p w:rsidR="00AC4F98" w:rsidRDefault="00AC4F98">
            <w:pPr>
              <w:spacing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Intro to NPRR885 Must-Run Alternatives</w:t>
            </w:r>
          </w:p>
          <w:p w:rsidR="00AC4F98" w:rsidRPr="00DA1B85" w:rsidRDefault="00DA1B85" w:rsidP="00DA1B85">
            <w:p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MSWG had some comments that ERCOT prefers to address later, including possible</w:t>
            </w:r>
            <w:bookmarkStart w:id="1" w:name="_GoBack"/>
            <w:bookmarkEnd w:id="1"/>
            <w:r>
              <w:rPr>
                <w:color w:val="FF0000"/>
                <w:sz w:val="21"/>
                <w:szCs w:val="21"/>
              </w:rPr>
              <w:t xml:space="preserve"> new NPRRs.</w:t>
            </w:r>
          </w:p>
        </w:tc>
      </w:tr>
      <w:tr w:rsidR="00AC4F98" w:rsidTr="00214234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AC4F98" w:rsidRDefault="00AC4F98">
            <w:pPr>
              <w:spacing w:after="4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220" w:type="dxa"/>
            </w:tcMar>
          </w:tcPr>
          <w:p w:rsidR="00BC5804" w:rsidRDefault="00AC4F98">
            <w:pPr>
              <w:spacing w:after="40"/>
              <w:rPr>
                <w:i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Other Business – </w:t>
            </w:r>
            <w:r>
              <w:rPr>
                <w:i/>
                <w:sz w:val="21"/>
                <w:szCs w:val="21"/>
              </w:rPr>
              <w:t xml:space="preserve">poss. cancel April to attend Energy Storage </w:t>
            </w:r>
            <w:proofErr w:type="gramStart"/>
            <w:r>
              <w:rPr>
                <w:i/>
                <w:sz w:val="21"/>
                <w:szCs w:val="21"/>
              </w:rPr>
              <w:t>Workshop?</w:t>
            </w:r>
            <w:proofErr w:type="gramEnd"/>
            <w:r>
              <w:rPr>
                <w:i/>
                <w:sz w:val="21"/>
                <w:szCs w:val="21"/>
              </w:rPr>
              <w:t xml:space="preserve">  </w:t>
            </w:r>
          </w:p>
          <w:p w:rsidR="00AC4F98" w:rsidRPr="00D80D39" w:rsidRDefault="00AC4F98" w:rsidP="00D80D39">
            <w:pPr>
              <w:pStyle w:val="ListParagraph"/>
              <w:numPr>
                <w:ilvl w:val="0"/>
                <w:numId w:val="2"/>
              </w:numPr>
              <w:spacing w:after="40"/>
              <w:rPr>
                <w:color w:val="FF0000"/>
                <w:sz w:val="21"/>
                <w:szCs w:val="21"/>
              </w:rPr>
            </w:pPr>
            <w:r w:rsidRPr="00D80D39">
              <w:rPr>
                <w:color w:val="FF0000"/>
                <w:sz w:val="21"/>
                <w:szCs w:val="21"/>
              </w:rPr>
              <w:t>April meeting cancelled.</w:t>
            </w:r>
          </w:p>
          <w:p w:rsidR="00AC4F98" w:rsidRDefault="00AC4F98" w:rsidP="00D80D39">
            <w:pPr>
              <w:pStyle w:val="ListParagraph"/>
              <w:numPr>
                <w:ilvl w:val="0"/>
                <w:numId w:val="2"/>
              </w:numPr>
              <w:spacing w:after="40"/>
              <w:rPr>
                <w:color w:val="FF0000"/>
                <w:sz w:val="21"/>
                <w:szCs w:val="21"/>
              </w:rPr>
            </w:pPr>
            <w:r w:rsidRPr="00D80D39">
              <w:rPr>
                <w:color w:val="FF0000"/>
                <w:sz w:val="21"/>
                <w:szCs w:val="21"/>
              </w:rPr>
              <w:t>ERO Fee invoice and ERCOT communication issues.</w:t>
            </w:r>
          </w:p>
          <w:p w:rsidR="00D80D39" w:rsidRDefault="00D80D39" w:rsidP="00DD07E3">
            <w:pPr>
              <w:pStyle w:val="ListParagraph"/>
              <w:numPr>
                <w:ilvl w:val="1"/>
                <w:numId w:val="2"/>
              </w:numPr>
              <w:spacing w:after="40"/>
              <w:rPr>
                <w:color w:val="FF0000"/>
                <w:sz w:val="21"/>
                <w:szCs w:val="21"/>
              </w:rPr>
            </w:pPr>
            <w:r w:rsidRPr="00D80D39">
              <w:rPr>
                <w:color w:val="FF0000"/>
                <w:sz w:val="21"/>
                <w:szCs w:val="21"/>
              </w:rPr>
              <w:t>Market Notices for ERO Fee</w:t>
            </w:r>
            <w:r w:rsidRPr="00D80D39">
              <w:rPr>
                <w:color w:val="FF0000"/>
                <w:sz w:val="21"/>
                <w:szCs w:val="21"/>
              </w:rPr>
              <w:t xml:space="preserve"> stopped at 12/12/2018</w:t>
            </w:r>
            <w:r w:rsidRPr="00D80D39">
              <w:rPr>
                <w:color w:val="FF0000"/>
                <w:sz w:val="21"/>
                <w:szCs w:val="21"/>
              </w:rPr>
              <w:t xml:space="preserve">.  </w:t>
            </w:r>
          </w:p>
          <w:p w:rsidR="00D80D39" w:rsidRDefault="00377E70" w:rsidP="00DD07E3">
            <w:pPr>
              <w:pStyle w:val="ListParagraph"/>
              <w:numPr>
                <w:ilvl w:val="1"/>
                <w:numId w:val="2"/>
              </w:num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In addition, </w:t>
            </w:r>
            <w:r w:rsidR="00D80D39" w:rsidRPr="00D80D39">
              <w:rPr>
                <w:color w:val="FF0000"/>
                <w:sz w:val="21"/>
                <w:szCs w:val="21"/>
              </w:rPr>
              <w:t>ERCOT made changes to email list they use to send out quarterly ERO</w:t>
            </w:r>
            <w:r w:rsidR="00D80D39" w:rsidRPr="00D80D39">
              <w:rPr>
                <w:color w:val="FF0000"/>
                <w:sz w:val="21"/>
                <w:szCs w:val="21"/>
              </w:rPr>
              <w:t xml:space="preserve"> Fee</w:t>
            </w:r>
            <w:r w:rsidR="00D80D39" w:rsidRPr="00D80D39">
              <w:rPr>
                <w:color w:val="FF0000"/>
                <w:sz w:val="21"/>
                <w:szCs w:val="21"/>
              </w:rPr>
              <w:t xml:space="preserve"> and monthly WAN invoices. They use to send it to </w:t>
            </w:r>
            <w:proofErr w:type="spellStart"/>
            <w:r w:rsidR="00D80D39" w:rsidRPr="00D80D39">
              <w:rPr>
                <w:color w:val="FF0000"/>
                <w:sz w:val="21"/>
                <w:szCs w:val="21"/>
              </w:rPr>
              <w:t>Settlement_Notice</w:t>
            </w:r>
            <w:proofErr w:type="spellEnd"/>
            <w:r w:rsidR="00D80D39" w:rsidRPr="00D80D39">
              <w:rPr>
                <w:color w:val="FF0000"/>
                <w:sz w:val="21"/>
                <w:szCs w:val="21"/>
              </w:rPr>
              <w:t>,</w:t>
            </w:r>
            <w:r w:rsidR="00D80D39" w:rsidRPr="00D80D39">
              <w:rPr>
                <w:color w:val="FF0000"/>
                <w:sz w:val="21"/>
                <w:szCs w:val="21"/>
              </w:rPr>
              <w:t xml:space="preserve"> but now only </w:t>
            </w:r>
            <w:r w:rsidR="00D80D39" w:rsidRPr="00D80D39">
              <w:rPr>
                <w:color w:val="FF0000"/>
                <w:sz w:val="21"/>
                <w:szCs w:val="21"/>
              </w:rPr>
              <w:t>one or two</w:t>
            </w:r>
            <w:r w:rsidR="00D80D39" w:rsidRPr="00D80D39">
              <w:rPr>
                <w:color w:val="FF0000"/>
                <w:sz w:val="21"/>
                <w:szCs w:val="21"/>
              </w:rPr>
              <w:t xml:space="preserve"> registered names for each CP.</w:t>
            </w:r>
            <w:r w:rsidR="00D80D39">
              <w:rPr>
                <w:color w:val="FF0000"/>
                <w:sz w:val="21"/>
                <w:szCs w:val="21"/>
              </w:rPr>
              <w:t xml:space="preserve">  </w:t>
            </w:r>
          </w:p>
          <w:p w:rsidR="00D80D39" w:rsidRDefault="00D80D39" w:rsidP="00DD07E3">
            <w:pPr>
              <w:pStyle w:val="ListParagraph"/>
              <w:numPr>
                <w:ilvl w:val="1"/>
                <w:numId w:val="2"/>
              </w:num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ERCOT had errors in manually query </w:t>
            </w:r>
            <w:proofErr w:type="spellStart"/>
            <w:r>
              <w:rPr>
                <w:color w:val="FF0000"/>
                <w:sz w:val="21"/>
                <w:szCs w:val="21"/>
              </w:rPr>
              <w:t>REPs.</w:t>
            </w:r>
            <w:proofErr w:type="spellEnd"/>
          </w:p>
          <w:p w:rsidR="00D80D39" w:rsidRDefault="00D80D39" w:rsidP="00DD07E3">
            <w:pPr>
              <w:pStyle w:val="ListParagraph"/>
              <w:numPr>
                <w:ilvl w:val="1"/>
                <w:numId w:val="2"/>
              </w:num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As a </w:t>
            </w:r>
            <w:r w:rsidR="00377E70">
              <w:rPr>
                <w:color w:val="FF0000"/>
                <w:sz w:val="21"/>
                <w:szCs w:val="21"/>
              </w:rPr>
              <w:t>result,</w:t>
            </w:r>
            <w:r>
              <w:rPr>
                <w:color w:val="FF0000"/>
                <w:sz w:val="21"/>
                <w:szCs w:val="21"/>
              </w:rPr>
              <w:t xml:space="preserve"> </w:t>
            </w:r>
            <w:r w:rsidR="00377E70">
              <w:rPr>
                <w:color w:val="FF0000"/>
                <w:sz w:val="21"/>
                <w:szCs w:val="21"/>
              </w:rPr>
              <w:t xml:space="preserve">the Account Payment contacts of </w:t>
            </w:r>
            <w:r>
              <w:rPr>
                <w:color w:val="FF0000"/>
                <w:sz w:val="21"/>
                <w:szCs w:val="21"/>
              </w:rPr>
              <w:t xml:space="preserve">some MPs </w:t>
            </w:r>
            <w:proofErr w:type="gramStart"/>
            <w:r>
              <w:rPr>
                <w:color w:val="FF0000"/>
                <w:sz w:val="21"/>
                <w:szCs w:val="21"/>
              </w:rPr>
              <w:t>didn’t</w:t>
            </w:r>
            <w:proofErr w:type="gramEnd"/>
            <w:r>
              <w:rPr>
                <w:color w:val="FF0000"/>
                <w:sz w:val="21"/>
                <w:szCs w:val="21"/>
              </w:rPr>
              <w:t xml:space="preserve"> receive the invoices in time.</w:t>
            </w:r>
          </w:p>
          <w:p w:rsidR="00AC4F98" w:rsidRDefault="00D80D39" w:rsidP="00FB1AB3">
            <w:pPr>
              <w:pStyle w:val="ListParagraph"/>
              <w:numPr>
                <w:ilvl w:val="1"/>
                <w:numId w:val="2"/>
              </w:numPr>
              <w:spacing w:after="40"/>
              <w:rPr>
                <w:color w:val="FF0000"/>
                <w:sz w:val="21"/>
                <w:szCs w:val="21"/>
              </w:rPr>
            </w:pPr>
            <w:r w:rsidRPr="00D80D39">
              <w:rPr>
                <w:color w:val="FF0000"/>
                <w:sz w:val="21"/>
                <w:szCs w:val="21"/>
              </w:rPr>
              <w:t xml:space="preserve">ERCOT explained that there was no </w:t>
            </w:r>
            <w:r w:rsidRPr="00D80D39">
              <w:rPr>
                <w:color w:val="FF0000"/>
                <w:sz w:val="21"/>
                <w:szCs w:val="21"/>
              </w:rPr>
              <w:t>specific info on WAN and ERO invoices</w:t>
            </w:r>
            <w:r w:rsidRPr="00D80D39">
              <w:rPr>
                <w:color w:val="FF0000"/>
                <w:sz w:val="21"/>
                <w:szCs w:val="21"/>
              </w:rPr>
              <w:t xml:space="preserve"> in </w:t>
            </w:r>
            <w:r w:rsidRPr="00D80D39">
              <w:rPr>
                <w:color w:val="FF0000"/>
                <w:sz w:val="21"/>
                <w:szCs w:val="21"/>
              </w:rPr>
              <w:t xml:space="preserve">ERCOT </w:t>
            </w:r>
            <w:r w:rsidR="00377E70">
              <w:rPr>
                <w:color w:val="FF0000"/>
                <w:sz w:val="21"/>
                <w:szCs w:val="21"/>
              </w:rPr>
              <w:t>M</w:t>
            </w:r>
            <w:r w:rsidRPr="00D80D39">
              <w:rPr>
                <w:color w:val="FF0000"/>
                <w:sz w:val="21"/>
                <w:szCs w:val="21"/>
              </w:rPr>
              <w:t>ark</w:t>
            </w:r>
            <w:r w:rsidR="00377E70">
              <w:rPr>
                <w:color w:val="FF0000"/>
                <w:sz w:val="21"/>
                <w:szCs w:val="21"/>
              </w:rPr>
              <w:t>et N</w:t>
            </w:r>
            <w:r w:rsidRPr="00D80D39">
              <w:rPr>
                <w:color w:val="FF0000"/>
                <w:sz w:val="21"/>
                <w:szCs w:val="21"/>
              </w:rPr>
              <w:t xml:space="preserve">otice </w:t>
            </w:r>
            <w:r w:rsidR="00377E70">
              <w:rPr>
                <w:color w:val="FF0000"/>
                <w:sz w:val="21"/>
                <w:szCs w:val="21"/>
              </w:rPr>
              <w:t>C</w:t>
            </w:r>
            <w:r w:rsidRPr="00D80D39">
              <w:rPr>
                <w:color w:val="FF0000"/>
                <w:sz w:val="21"/>
                <w:szCs w:val="21"/>
              </w:rPr>
              <w:t>omm</w:t>
            </w:r>
            <w:r w:rsidR="00377E70">
              <w:rPr>
                <w:color w:val="FF0000"/>
                <w:sz w:val="21"/>
                <w:szCs w:val="21"/>
              </w:rPr>
              <w:t>unication P</w:t>
            </w:r>
            <w:r w:rsidRPr="00D80D39">
              <w:rPr>
                <w:color w:val="FF0000"/>
                <w:sz w:val="21"/>
                <w:szCs w:val="21"/>
              </w:rPr>
              <w:t>rocess or the</w:t>
            </w:r>
            <w:r w:rsidR="00377E70">
              <w:rPr>
                <w:color w:val="FF0000"/>
                <w:sz w:val="21"/>
                <w:szCs w:val="21"/>
              </w:rPr>
              <w:t xml:space="preserve"> Business P</w:t>
            </w:r>
            <w:r w:rsidRPr="00D80D39">
              <w:rPr>
                <w:color w:val="FF0000"/>
                <w:sz w:val="21"/>
                <w:szCs w:val="21"/>
              </w:rPr>
              <w:t xml:space="preserve">ractice </w:t>
            </w:r>
            <w:r w:rsidR="00377E70">
              <w:rPr>
                <w:color w:val="FF0000"/>
                <w:sz w:val="21"/>
                <w:szCs w:val="21"/>
              </w:rPr>
              <w:t>M</w:t>
            </w:r>
            <w:r w:rsidRPr="00D80D39">
              <w:rPr>
                <w:color w:val="FF0000"/>
                <w:sz w:val="21"/>
                <w:szCs w:val="21"/>
              </w:rPr>
              <w:t>anual</w:t>
            </w:r>
            <w:r w:rsidRPr="00D80D39">
              <w:rPr>
                <w:color w:val="FF0000"/>
                <w:sz w:val="21"/>
                <w:szCs w:val="21"/>
              </w:rPr>
              <w:t xml:space="preserve">. </w:t>
            </w:r>
            <w:r w:rsidR="0069426F">
              <w:rPr>
                <w:color w:val="FF0000"/>
                <w:sz w:val="21"/>
                <w:szCs w:val="21"/>
              </w:rPr>
              <w:t>Nonetheless,</w:t>
            </w:r>
            <w:r>
              <w:rPr>
                <w:color w:val="FF0000"/>
                <w:sz w:val="21"/>
                <w:szCs w:val="21"/>
              </w:rPr>
              <w:t xml:space="preserve"> the</w:t>
            </w:r>
            <w:r w:rsidR="00AC4F98" w:rsidRPr="00D80D39"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color w:val="FF0000"/>
                <w:sz w:val="21"/>
                <w:szCs w:val="21"/>
              </w:rPr>
              <w:t>i</w:t>
            </w:r>
            <w:r w:rsidR="00377E70">
              <w:rPr>
                <w:color w:val="FF0000"/>
                <w:sz w:val="21"/>
                <w:szCs w:val="21"/>
              </w:rPr>
              <w:t xml:space="preserve">ssues </w:t>
            </w:r>
            <w:proofErr w:type="gramStart"/>
            <w:r w:rsidR="00377E70">
              <w:rPr>
                <w:color w:val="FF0000"/>
                <w:sz w:val="21"/>
                <w:szCs w:val="21"/>
              </w:rPr>
              <w:t>should be addressed</w:t>
            </w:r>
            <w:proofErr w:type="gramEnd"/>
            <w:r w:rsidR="00377E70">
              <w:rPr>
                <w:color w:val="FF0000"/>
                <w:sz w:val="21"/>
                <w:szCs w:val="21"/>
              </w:rPr>
              <w:t xml:space="preserve"> and Account P</w:t>
            </w:r>
            <w:r w:rsidR="00AC4F98" w:rsidRPr="00D80D39">
              <w:rPr>
                <w:color w:val="FF0000"/>
                <w:sz w:val="21"/>
                <w:szCs w:val="21"/>
              </w:rPr>
              <w:t>ayable contacts and Authorized REPs should receive the invoices.</w:t>
            </w:r>
          </w:p>
          <w:p w:rsidR="0069426F" w:rsidRDefault="0069426F" w:rsidP="00FB1AB3">
            <w:pPr>
              <w:pStyle w:val="ListParagraph"/>
              <w:numPr>
                <w:ilvl w:val="1"/>
                <w:numId w:val="2"/>
              </w:num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The request is to return to Settlement list for ERO and WAN invoices.</w:t>
            </w:r>
          </w:p>
          <w:p w:rsidR="00AC4F98" w:rsidRPr="0069426F" w:rsidRDefault="0069426F" w:rsidP="0069426F">
            <w:pPr>
              <w:pStyle w:val="ListParagraph"/>
              <w:numPr>
                <w:ilvl w:val="1"/>
                <w:numId w:val="2"/>
              </w:numPr>
              <w:spacing w:after="40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ERCOT will provide an update in May.</w:t>
            </w:r>
          </w:p>
        </w:tc>
      </w:tr>
      <w:tr w:rsidR="00AC4F98" w:rsidTr="00214234">
        <w:trPr>
          <w:trHeight w:val="4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80" w:type="dxa"/>
            </w:tcMar>
          </w:tcPr>
          <w:p w:rsidR="00AC4F98" w:rsidRDefault="00AC4F98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0" w:type="dxa"/>
              <w:right w:w="220" w:type="dxa"/>
            </w:tcMar>
          </w:tcPr>
          <w:p w:rsidR="00AC4F98" w:rsidRDefault="00AC4F98">
            <w:pPr>
              <w:spacing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Adjourn</w:t>
            </w:r>
          </w:p>
          <w:p w:rsidR="00AC4F98" w:rsidRDefault="00AC4F98" w:rsidP="00AC4F98">
            <w:pPr>
              <w:spacing w:after="40"/>
              <w:rPr>
                <w:sz w:val="21"/>
                <w:szCs w:val="21"/>
              </w:rPr>
            </w:pPr>
          </w:p>
        </w:tc>
      </w:tr>
    </w:tbl>
    <w:p w:rsidR="00217A28" w:rsidRDefault="00217A28" w:rsidP="00217A28">
      <w:pPr>
        <w:pBdr>
          <w:bottom w:val="single" w:sz="6" w:space="1" w:color="auto"/>
        </w:pBdr>
      </w:pPr>
    </w:p>
    <w:p w:rsidR="00217A28" w:rsidRPr="00911632" w:rsidRDefault="00217A28" w:rsidP="00217A28">
      <w:pPr>
        <w:rPr>
          <w:color w:val="0070C0"/>
        </w:rPr>
      </w:pPr>
      <w:r w:rsidRPr="00911632">
        <w:rPr>
          <w:color w:val="0070C0"/>
        </w:rPr>
        <w:t>Disclaimer:</w:t>
      </w:r>
    </w:p>
    <w:p w:rsidR="00217A28" w:rsidRPr="00911632" w:rsidRDefault="00217A28" w:rsidP="00217A28">
      <w:pPr>
        <w:rPr>
          <w:color w:val="0070C0"/>
        </w:rPr>
      </w:pPr>
      <w:r w:rsidRPr="00911632">
        <w:rPr>
          <w:color w:val="0070C0"/>
        </w:rPr>
        <w:t xml:space="preserve">The notes provided above are for information only.  All citations must be limited in scope. </w:t>
      </w:r>
    </w:p>
    <w:p w:rsidR="00CF6F2F" w:rsidRDefault="00CF6F2F"/>
    <w:sectPr w:rsidR="00CF6F2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43AF9"/>
    <w:multiLevelType w:val="hybridMultilevel"/>
    <w:tmpl w:val="4C4C6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111D9"/>
    <w:multiLevelType w:val="hybridMultilevel"/>
    <w:tmpl w:val="A57A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2F"/>
    <w:rsid w:val="00115BC5"/>
    <w:rsid w:val="001F0241"/>
    <w:rsid w:val="00214234"/>
    <w:rsid w:val="00217A28"/>
    <w:rsid w:val="00284476"/>
    <w:rsid w:val="00377E70"/>
    <w:rsid w:val="004F0854"/>
    <w:rsid w:val="005E0455"/>
    <w:rsid w:val="005F3368"/>
    <w:rsid w:val="0062723E"/>
    <w:rsid w:val="0069426F"/>
    <w:rsid w:val="0096736F"/>
    <w:rsid w:val="009D62A4"/>
    <w:rsid w:val="009E4771"/>
    <w:rsid w:val="00A2418C"/>
    <w:rsid w:val="00A31E57"/>
    <w:rsid w:val="00AC4F98"/>
    <w:rsid w:val="00BB754F"/>
    <w:rsid w:val="00BC5804"/>
    <w:rsid w:val="00CF6F2F"/>
    <w:rsid w:val="00D80D39"/>
    <w:rsid w:val="00DA1B85"/>
    <w:rsid w:val="00E2657B"/>
    <w:rsid w:val="00E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DAE923"/>
  <w15:docId w15:val="{FD1F1C1F-8256-4970-A5E1-E8977F83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Strong">
    <w:name w:val="Strong"/>
    <w:basedOn w:val="DefaultParagraphFont"/>
    <w:uiPriority w:val="22"/>
    <w:qFormat/>
    <w:rsid w:val="00E2657B"/>
    <w:rPr>
      <w:b/>
      <w:bCs/>
    </w:rPr>
  </w:style>
  <w:style w:type="paragraph" w:styleId="ListParagraph">
    <w:name w:val="List Paragraph"/>
    <w:basedOn w:val="Normal"/>
    <w:uiPriority w:val="34"/>
    <w:qFormat/>
    <w:rsid w:val="00115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Teng, Shuye</dc:creator>
  <cp:lastModifiedBy>Teng, Shuye</cp:lastModifiedBy>
  <cp:revision>23</cp:revision>
  <dcterms:created xsi:type="dcterms:W3CDTF">2019-05-17T15:23:00Z</dcterms:created>
  <dcterms:modified xsi:type="dcterms:W3CDTF">2019-05-17T16:30:00Z</dcterms:modified>
</cp:coreProperties>
</file>