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600A9" w14:textId="77777777" w:rsidR="00387971" w:rsidRDefault="00B22EA7" w:rsidP="00002163">
      <w:pPr>
        <w:jc w:val="right"/>
      </w:pPr>
      <w:r>
        <w:rPr>
          <w:noProof/>
        </w:rPr>
        <w:drawing>
          <wp:inline distT="0" distB="0" distL="0" distR="0" wp14:anchorId="776C167B" wp14:editId="08A75F4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E745266" w14:textId="77777777" w:rsidR="00387971" w:rsidRPr="00646598" w:rsidRDefault="00373E79" w:rsidP="00EA2B1F">
      <w:pPr>
        <w:pStyle w:val="StyleStylespacerRightBefore400pt9pt"/>
      </w:pPr>
      <w:r>
        <w:t>ERCOT Business Practice</w:t>
      </w:r>
      <w:r w:rsidR="005C0BD0" w:rsidRPr="00646598">
        <w:t>:</w:t>
      </w:r>
      <w:r w:rsidR="009F0179" w:rsidRPr="00646598">
        <w:br/>
      </w:r>
    </w:p>
    <w:p w14:paraId="6F89E865" w14:textId="77777777" w:rsidR="00AE70F7" w:rsidRPr="00646598" w:rsidRDefault="0092211A" w:rsidP="00EA2B1F">
      <w:pPr>
        <w:pStyle w:val="StyleArial18ptBoldText2Right"/>
      </w:pPr>
      <w:r>
        <w:t>Procedure</w:t>
      </w:r>
      <w:r w:rsidR="00373E79">
        <w:t xml:space="preserve"> for Calculating RRS Limits </w:t>
      </w:r>
      <w:r w:rsidR="00390A70">
        <w:t>for</w:t>
      </w:r>
      <w:r w:rsidR="00373E79">
        <w:t xml:space="preserve"> Individual Resources</w:t>
      </w:r>
    </w:p>
    <w:p w14:paraId="18A566A0"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1C5ECC63" w14:textId="77777777" w:rsidR="00AE70F7" w:rsidRPr="00AE70F7" w:rsidRDefault="00AE70F7" w:rsidP="00AE70F7">
      <w:pPr>
        <w:pStyle w:val="spacer"/>
        <w:widowControl w:val="0"/>
        <w:spacing w:before="240"/>
        <w:jc w:val="right"/>
        <w:rPr>
          <w:sz w:val="24"/>
          <w:szCs w:val="24"/>
        </w:rPr>
      </w:pPr>
    </w:p>
    <w:p w14:paraId="7BD3B7A5"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0439324D"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14F23D30" w14:textId="77777777" w:rsidTr="0080518D">
        <w:tc>
          <w:tcPr>
            <w:tcW w:w="1800" w:type="dxa"/>
            <w:tcBorders>
              <w:top w:val="nil"/>
              <w:left w:val="nil"/>
              <w:bottom w:val="single" w:sz="4" w:space="0" w:color="auto"/>
              <w:right w:val="nil"/>
            </w:tcBorders>
            <w:shd w:val="clear" w:color="auto" w:fill="auto"/>
          </w:tcPr>
          <w:p w14:paraId="214B631B"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6425BFF3"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1741AF83"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4DF6ED16" w14:textId="77777777" w:rsidR="0017100B" w:rsidRPr="00FA1221" w:rsidRDefault="0017100B" w:rsidP="00D055CC">
            <w:pPr>
              <w:pStyle w:val="tablehead"/>
            </w:pPr>
            <w:r w:rsidRPr="00FA1221">
              <w:t>Author(s)</w:t>
            </w:r>
          </w:p>
        </w:tc>
      </w:tr>
      <w:tr w:rsidR="0017100B" w14:paraId="38C0CC54" w14:textId="77777777" w:rsidTr="0080518D">
        <w:tc>
          <w:tcPr>
            <w:tcW w:w="1800" w:type="dxa"/>
            <w:tcBorders>
              <w:top w:val="single" w:sz="4" w:space="0" w:color="auto"/>
              <w:left w:val="nil"/>
              <w:bottom w:val="single" w:sz="4" w:space="0" w:color="auto"/>
              <w:right w:val="single" w:sz="4" w:space="0" w:color="auto"/>
            </w:tcBorders>
          </w:tcPr>
          <w:p w14:paraId="2C2205E6" w14:textId="77777777"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14:paraId="30490985"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7CFEF94C"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5CAECB79" w14:textId="77777777" w:rsidR="0017100B" w:rsidRDefault="0017100B" w:rsidP="00D055CC">
            <w:pPr>
              <w:pStyle w:val="table"/>
            </w:pPr>
          </w:p>
        </w:tc>
      </w:tr>
    </w:tbl>
    <w:p w14:paraId="576B9785" w14:textId="77777777" w:rsidR="00B0784A" w:rsidRDefault="00B0784A"/>
    <w:p w14:paraId="55A09D76" w14:textId="77777777" w:rsidR="00373E79" w:rsidRDefault="00373E79">
      <w:pPr>
        <w:rPr>
          <w:color w:val="5B6770" w:themeColor="accent2"/>
          <w:sz w:val="21"/>
        </w:rPr>
      </w:pPr>
      <w:r>
        <w:br w:type="page"/>
      </w:r>
    </w:p>
    <w:p w14:paraId="0DC59109" w14:textId="77777777" w:rsidR="00373E79" w:rsidRPr="00995011" w:rsidRDefault="00373E79" w:rsidP="00995011">
      <w:pPr>
        <w:pStyle w:val="StyleTOCHeadAccent1"/>
      </w:pPr>
      <w:r w:rsidRPr="00995011">
        <w:lastRenderedPageBreak/>
        <w:t>PROTOCOL DISCLAIMER</w:t>
      </w:r>
    </w:p>
    <w:p w14:paraId="6F59BF96" w14:textId="77777777" w:rsidR="00400806" w:rsidRPr="00373E79" w:rsidRDefault="00373E79" w:rsidP="00373E79">
      <w:pPr>
        <w:rPr>
          <w:color w:val="5B6770" w:themeColor="accent2"/>
          <w:sz w:val="21"/>
        </w:rPr>
        <w:sectPr w:rsidR="00400806" w:rsidRPr="00373E79" w:rsidSect="003C5767">
          <w:pgSz w:w="12240" w:h="15840"/>
          <w:pgMar w:top="1440" w:right="1440" w:bottom="1440" w:left="1440" w:header="720" w:footer="720" w:gutter="0"/>
          <w:pgNumType w:start="1"/>
          <w:cols w:space="720"/>
          <w:docGrid w:linePitch="360"/>
        </w:sectPr>
      </w:pPr>
      <w:r>
        <w:t>This Business Practice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6117DBF8" w14:textId="77777777" w:rsidR="00400806" w:rsidRDefault="00400806" w:rsidP="00400806">
      <w:pPr>
        <w:pStyle w:val="BodyText"/>
      </w:pPr>
    </w:p>
    <w:p w14:paraId="6B5EAA4F" w14:textId="77777777" w:rsidR="00C14165" w:rsidRPr="00F923C7" w:rsidRDefault="00B0784A" w:rsidP="00EA2B1F">
      <w:pPr>
        <w:pStyle w:val="StyleTOCHeadAccent1"/>
      </w:pPr>
      <w:bookmarkStart w:id="0" w:name="_Toc85269770"/>
      <w:r w:rsidRPr="00F923C7">
        <w:t>Table of Contents</w:t>
      </w:r>
      <w:bookmarkEnd w:id="0"/>
    </w:p>
    <w:p w14:paraId="29B88426" w14:textId="77777777" w:rsidR="002246A1"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659327" w:history="1">
        <w:r w:rsidR="002246A1" w:rsidRPr="003D3888">
          <w:rPr>
            <w:rStyle w:val="Hyperlink"/>
            <w:noProof/>
          </w:rPr>
          <w:t>1.</w:t>
        </w:r>
        <w:r w:rsidR="002246A1">
          <w:rPr>
            <w:rFonts w:asciiTheme="minorHAnsi" w:eastAsiaTheme="minorEastAsia" w:hAnsiTheme="minorHAnsi" w:cstheme="minorBidi"/>
            <w:noProof/>
            <w:color w:val="auto"/>
            <w:sz w:val="22"/>
            <w:szCs w:val="22"/>
          </w:rPr>
          <w:tab/>
        </w:r>
        <w:r w:rsidR="002246A1" w:rsidRPr="003D3888">
          <w:rPr>
            <w:rStyle w:val="Hyperlink"/>
            <w:noProof/>
          </w:rPr>
          <w:t>Responsive Reserve Service</w:t>
        </w:r>
        <w:r w:rsidR="002246A1">
          <w:rPr>
            <w:noProof/>
            <w:webHidden/>
          </w:rPr>
          <w:tab/>
        </w:r>
        <w:r w:rsidR="002246A1">
          <w:rPr>
            <w:noProof/>
            <w:webHidden/>
          </w:rPr>
          <w:fldChar w:fldCharType="begin"/>
        </w:r>
        <w:r w:rsidR="002246A1">
          <w:rPr>
            <w:noProof/>
            <w:webHidden/>
          </w:rPr>
          <w:instrText xml:space="preserve"> PAGEREF _Toc1659327 \h </w:instrText>
        </w:r>
        <w:r w:rsidR="002246A1">
          <w:rPr>
            <w:noProof/>
            <w:webHidden/>
          </w:rPr>
        </w:r>
        <w:r w:rsidR="002246A1">
          <w:rPr>
            <w:noProof/>
            <w:webHidden/>
          </w:rPr>
          <w:fldChar w:fldCharType="separate"/>
        </w:r>
        <w:r w:rsidR="002246A1">
          <w:rPr>
            <w:noProof/>
            <w:webHidden/>
          </w:rPr>
          <w:t>1</w:t>
        </w:r>
        <w:r w:rsidR="002246A1">
          <w:rPr>
            <w:noProof/>
            <w:webHidden/>
          </w:rPr>
          <w:fldChar w:fldCharType="end"/>
        </w:r>
      </w:hyperlink>
    </w:p>
    <w:p w14:paraId="26B26B91" w14:textId="77777777" w:rsidR="002246A1" w:rsidRDefault="0020417D">
      <w:pPr>
        <w:pStyle w:val="TOC1"/>
        <w:rPr>
          <w:rFonts w:asciiTheme="minorHAnsi" w:eastAsiaTheme="minorEastAsia" w:hAnsiTheme="minorHAnsi" w:cstheme="minorBidi"/>
          <w:noProof/>
          <w:color w:val="auto"/>
          <w:sz w:val="22"/>
          <w:szCs w:val="22"/>
        </w:rPr>
      </w:pPr>
      <w:hyperlink w:anchor="_Toc1659328" w:history="1">
        <w:r w:rsidR="002246A1" w:rsidRPr="003D3888">
          <w:rPr>
            <w:rStyle w:val="Hyperlink"/>
            <w:noProof/>
          </w:rPr>
          <w:t>2.</w:t>
        </w:r>
        <w:r w:rsidR="002246A1">
          <w:rPr>
            <w:rFonts w:asciiTheme="minorHAnsi" w:eastAsiaTheme="minorEastAsia" w:hAnsiTheme="minorHAnsi" w:cstheme="minorBidi"/>
            <w:noProof/>
            <w:color w:val="auto"/>
            <w:sz w:val="22"/>
            <w:szCs w:val="22"/>
          </w:rPr>
          <w:tab/>
        </w:r>
        <w:r w:rsidR="002246A1" w:rsidRPr="003D3888">
          <w:rPr>
            <w:rStyle w:val="Hyperlink"/>
            <w:noProof/>
          </w:rPr>
          <w:t>Calculating RRS Limits on Individual Resources</w:t>
        </w:r>
        <w:r w:rsidR="002246A1">
          <w:rPr>
            <w:noProof/>
            <w:webHidden/>
          </w:rPr>
          <w:tab/>
        </w:r>
        <w:r w:rsidR="002246A1">
          <w:rPr>
            <w:noProof/>
            <w:webHidden/>
          </w:rPr>
          <w:fldChar w:fldCharType="begin"/>
        </w:r>
        <w:r w:rsidR="002246A1">
          <w:rPr>
            <w:noProof/>
            <w:webHidden/>
          </w:rPr>
          <w:instrText xml:space="preserve"> PAGEREF _Toc1659328 \h </w:instrText>
        </w:r>
        <w:r w:rsidR="002246A1">
          <w:rPr>
            <w:noProof/>
            <w:webHidden/>
          </w:rPr>
        </w:r>
        <w:r w:rsidR="002246A1">
          <w:rPr>
            <w:noProof/>
            <w:webHidden/>
          </w:rPr>
          <w:fldChar w:fldCharType="separate"/>
        </w:r>
        <w:r w:rsidR="002246A1">
          <w:rPr>
            <w:noProof/>
            <w:webHidden/>
          </w:rPr>
          <w:t>1</w:t>
        </w:r>
        <w:r w:rsidR="002246A1">
          <w:rPr>
            <w:noProof/>
            <w:webHidden/>
          </w:rPr>
          <w:fldChar w:fldCharType="end"/>
        </w:r>
      </w:hyperlink>
    </w:p>
    <w:p w14:paraId="25D55146" w14:textId="77777777" w:rsidR="002246A1" w:rsidRDefault="0020417D">
      <w:pPr>
        <w:pStyle w:val="TOC1"/>
        <w:rPr>
          <w:rFonts w:asciiTheme="minorHAnsi" w:eastAsiaTheme="minorEastAsia" w:hAnsiTheme="minorHAnsi" w:cstheme="minorBidi"/>
          <w:noProof/>
          <w:color w:val="auto"/>
          <w:sz w:val="22"/>
          <w:szCs w:val="22"/>
        </w:rPr>
      </w:pPr>
      <w:hyperlink w:anchor="_Toc1659329" w:history="1">
        <w:r w:rsidR="002246A1" w:rsidRPr="003D3888">
          <w:rPr>
            <w:rStyle w:val="Hyperlink"/>
            <w:noProof/>
          </w:rPr>
          <w:t>3.</w:t>
        </w:r>
        <w:r w:rsidR="002246A1">
          <w:rPr>
            <w:rFonts w:asciiTheme="minorHAnsi" w:eastAsiaTheme="minorEastAsia" w:hAnsiTheme="minorHAnsi" w:cstheme="minorBidi"/>
            <w:noProof/>
            <w:color w:val="auto"/>
            <w:sz w:val="22"/>
            <w:szCs w:val="22"/>
          </w:rPr>
          <w:tab/>
        </w:r>
        <w:r w:rsidR="002246A1" w:rsidRPr="003D3888">
          <w:rPr>
            <w:rStyle w:val="Hyperlink"/>
            <w:noProof/>
          </w:rPr>
          <w:t>RRS Limit Updates</w:t>
        </w:r>
        <w:r w:rsidR="002246A1">
          <w:rPr>
            <w:noProof/>
            <w:webHidden/>
          </w:rPr>
          <w:tab/>
        </w:r>
        <w:r w:rsidR="002246A1">
          <w:rPr>
            <w:noProof/>
            <w:webHidden/>
          </w:rPr>
          <w:fldChar w:fldCharType="begin"/>
        </w:r>
        <w:r w:rsidR="002246A1">
          <w:rPr>
            <w:noProof/>
            <w:webHidden/>
          </w:rPr>
          <w:instrText xml:space="preserve"> PAGEREF _Toc1659329 \h </w:instrText>
        </w:r>
        <w:r w:rsidR="002246A1">
          <w:rPr>
            <w:noProof/>
            <w:webHidden/>
          </w:rPr>
        </w:r>
        <w:r w:rsidR="002246A1">
          <w:rPr>
            <w:noProof/>
            <w:webHidden/>
          </w:rPr>
          <w:fldChar w:fldCharType="separate"/>
        </w:r>
        <w:r w:rsidR="002246A1">
          <w:rPr>
            <w:noProof/>
            <w:webHidden/>
          </w:rPr>
          <w:t>2</w:t>
        </w:r>
        <w:r w:rsidR="002246A1">
          <w:rPr>
            <w:noProof/>
            <w:webHidden/>
          </w:rPr>
          <w:fldChar w:fldCharType="end"/>
        </w:r>
      </w:hyperlink>
    </w:p>
    <w:p w14:paraId="039BBBBB"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087DAB7C" w14:textId="77777777" w:rsidR="00C7592F" w:rsidRDefault="00995011" w:rsidP="00373E79">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6593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Responsive Reserve Service</w:t>
      </w:r>
      <w:bookmarkEnd w:id="248"/>
      <w:r>
        <w:t xml:space="preserve"> </w:t>
      </w:r>
    </w:p>
    <w:p w14:paraId="58287083" w14:textId="7FA87A1F" w:rsidR="00995011" w:rsidRDefault="008C5EE9" w:rsidP="00995011">
      <w:pPr>
        <w:spacing w:after="240"/>
      </w:pPr>
      <w:r>
        <w:t xml:space="preserve">Response Reserve Service (RRS)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RRS on Generation Resources and Controllable Load </w:t>
      </w:r>
      <w:r>
        <w:t>Resources (CLR)</w:t>
      </w:r>
      <w:r w:rsidR="008C0818">
        <w:t xml:space="preserve"> that are capable of providing Primary Frequency Response (PFR)</w:t>
      </w:r>
      <w:r>
        <w:t xml:space="preserve"> </w:t>
      </w:r>
      <w:r w:rsidR="00995011" w:rsidRPr="00995011">
        <w:t xml:space="preserve">can be </w:t>
      </w:r>
      <w:r w:rsidR="00187885">
        <w:t xml:space="preserve">released to </w:t>
      </w:r>
      <w:r w:rsidR="001F3B23">
        <w:t>Security Constrained Economic Dispatch (</w:t>
      </w:r>
      <w:r w:rsidR="00187885">
        <w:t>SCED</w:t>
      </w:r>
      <w:r w:rsidR="001F3B23">
        <w:t>)</w:t>
      </w:r>
      <w:r w:rsidR="00187885">
        <w:t xml:space="preserve"> during scarcity conditions as outlined in the Nodal Operating Guide </w:t>
      </w:r>
      <w:r w:rsidR="001F3B23">
        <w:t>S</w:t>
      </w:r>
      <w:r w:rsidR="00187885">
        <w:t>ection 4.8</w:t>
      </w:r>
      <w:r w:rsidR="001F3B23">
        <w:t>,</w:t>
      </w:r>
      <w:r w:rsidR="00187885">
        <w:t xml:space="preserve"> </w:t>
      </w:r>
      <w:r w:rsidR="00187885" w:rsidRPr="00187885">
        <w:t>Responsive Reserve Service During Scarcity Conditions</w:t>
      </w:r>
      <w:r w:rsidR="00995011" w:rsidRPr="00995011">
        <w:t>.</w:t>
      </w:r>
      <w:r w:rsidR="008C0818">
        <w:t xml:space="preserve"> </w:t>
      </w:r>
    </w:p>
    <w:p w14:paraId="227141D6" w14:textId="77777777" w:rsidR="00B77D83" w:rsidRDefault="00B77D83" w:rsidP="00B77D83">
      <w:pPr>
        <w:pStyle w:val="Heading1"/>
      </w:pPr>
      <w:r>
        <w:t>RRS MW Limits for Individual Resources</w:t>
      </w:r>
    </w:p>
    <w:p w14:paraId="6DF765F6" w14:textId="3925B218" w:rsidR="00B77D83" w:rsidRDefault="0020417D" w:rsidP="00995011">
      <w:pPr>
        <w:spacing w:after="240"/>
      </w:pPr>
      <w:r>
        <w:t>T</w:t>
      </w:r>
      <w:r w:rsidR="00B77D83">
        <w:t>hermal Resources that ha</w:t>
      </w:r>
      <w:r w:rsidR="001F3B23">
        <w:t>ve</w:t>
      </w:r>
      <w:r w:rsidR="00B77D83">
        <w:t xml:space="preserve"> </w:t>
      </w:r>
      <w:r w:rsidR="008C0818">
        <w:t>scored greater than or equal to 0.75 score for</w:t>
      </w:r>
      <w:r>
        <w:t xml:space="preserve"> </w:t>
      </w:r>
      <w:r w:rsidR="00B77D83">
        <w:t xml:space="preserve">PFR initial and PFR sustained measures </w:t>
      </w:r>
      <w:r w:rsidR="001F3B23">
        <w:t xml:space="preserve">(computed per Nodal Operating Guide Section 8J, Initial and Sustained Measurements for Primary Frequency Response) </w:t>
      </w:r>
      <w:r w:rsidR="00B77D83">
        <w:t>for three or more consecutive F</w:t>
      </w:r>
      <w:r w:rsidR="001F3B23">
        <w:t xml:space="preserve">requency </w:t>
      </w:r>
      <w:r w:rsidR="00B77D83">
        <w:t>M</w:t>
      </w:r>
      <w:r w:rsidR="001F3B23">
        <w:t xml:space="preserve">easurable </w:t>
      </w:r>
      <w:r w:rsidR="00B77D83">
        <w:t>E</w:t>
      </w:r>
      <w:r w:rsidR="001F3B23">
        <w:t>vent</w:t>
      </w:r>
      <w:r w:rsidR="00B77D83">
        <w:t>s</w:t>
      </w:r>
      <w:r w:rsidR="001F3B23">
        <w:t xml:space="preserve"> (FMEs)</w:t>
      </w:r>
      <w:r w:rsidR="00B77D83">
        <w:t xml:space="preserve"> over the period of two </w:t>
      </w:r>
      <w:r w:rsidR="006126C1">
        <w:t xml:space="preserve">calendar </w:t>
      </w:r>
      <w:r w:rsidR="00B77D83">
        <w:t xml:space="preserve">months, shall continue to be </w:t>
      </w:r>
      <w:r w:rsidR="001F3B23">
        <w:t xml:space="preserve">subject to </w:t>
      </w:r>
      <w:r w:rsidR="00B77D83">
        <w:t xml:space="preserve">20% of </w:t>
      </w:r>
      <w:r w:rsidR="001F3B23">
        <w:t>their respective High Sustained Limit (</w:t>
      </w:r>
      <w:r w:rsidR="00B77D83">
        <w:t>HSL</w:t>
      </w:r>
      <w:r w:rsidR="001F3B23">
        <w:t>) as their RRS limit</w:t>
      </w:r>
      <w:r w:rsidR="00B77D83">
        <w:t xml:space="preserve">. Thermal Resources that fail </w:t>
      </w:r>
      <w:r w:rsidR="006126C1">
        <w:t xml:space="preserve">the above check will be subject to a </w:t>
      </w:r>
      <w:r w:rsidR="00B77D83">
        <w:t xml:space="preserve">review </w:t>
      </w:r>
      <w:r w:rsidR="006126C1">
        <w:t xml:space="preserve">of </w:t>
      </w:r>
      <w:r w:rsidR="00B77D83">
        <w:t>the</w:t>
      </w:r>
      <w:r w:rsidR="006126C1">
        <w:t>ir respective</w:t>
      </w:r>
      <w:r w:rsidR="00B77D83">
        <w:t xml:space="preserve"> RRS limit using the process outlined in Section 3. </w:t>
      </w:r>
    </w:p>
    <w:p w14:paraId="470F898D" w14:textId="2FB94D89" w:rsidR="00B77D83" w:rsidRDefault="00B77D83" w:rsidP="00995011">
      <w:pPr>
        <w:spacing w:after="240"/>
      </w:pPr>
      <w:r>
        <w:t xml:space="preserve">The default MW limit for any new Generation Resource providing RRS shall be set to 20% of its HSL. A Private Use Network (PUN) with a registered Resource may use its gross HSL for </w:t>
      </w:r>
      <w:r w:rsidR="006126C1">
        <w:t xml:space="preserve">qualifying </w:t>
      </w:r>
      <w:r>
        <w:t xml:space="preserve">and establishing a limit on the amount of RRS capacity that the Resources within the PUN can provide. </w:t>
      </w:r>
    </w:p>
    <w:p w14:paraId="3A1CB160" w14:textId="7C7031BC" w:rsidR="00B77D83" w:rsidRDefault="00B77D83" w:rsidP="00995011">
      <w:pPr>
        <w:spacing w:after="240"/>
      </w:pPr>
      <w:r>
        <w:t>Non-Thermal Resources RRS threshold 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resources</w:t>
      </w:r>
      <w:r>
        <w:t>.</w:t>
      </w:r>
      <w:r w:rsidR="007E6734">
        <w:t xml:space="preserve"> </w:t>
      </w:r>
      <w:r>
        <w:t xml:space="preserve">    </w:t>
      </w:r>
    </w:p>
    <w:p w14:paraId="79CD90D4" w14:textId="77777777" w:rsidR="00995011" w:rsidRDefault="002C669E" w:rsidP="00995011">
      <w:pPr>
        <w:pStyle w:val="Heading1"/>
      </w:pPr>
      <w:bookmarkStart w:id="249" w:name="_Toc1659328"/>
      <w:r>
        <w:t>Calculating RRS</w:t>
      </w:r>
      <w:r w:rsidR="008C5EE9">
        <w:t xml:space="preserve"> </w:t>
      </w:r>
      <w:r w:rsidR="002246A1">
        <w:t xml:space="preserve">MW </w:t>
      </w:r>
      <w:r w:rsidR="008C5EE9">
        <w:t xml:space="preserve">Limits </w:t>
      </w:r>
      <w:r w:rsidR="009A0B9A">
        <w:t>for</w:t>
      </w:r>
      <w:r w:rsidR="008C5EE9">
        <w:t xml:space="preserve"> Individual Resources</w:t>
      </w:r>
      <w:bookmarkEnd w:id="249"/>
    </w:p>
    <w:p w14:paraId="5E3A16DD" w14:textId="6B47FB11" w:rsidR="007E6734" w:rsidRDefault="007E6734" w:rsidP="00E60B19">
      <w:pPr>
        <w:spacing w:after="240"/>
      </w:pPr>
      <w:r>
        <w:t xml:space="preserve">For Resources that fails the PFR initial and PFR sustained measures for three or more consecutive FMEs over the period of two </w:t>
      </w:r>
      <w:r w:rsidR="00615B19">
        <w:t xml:space="preserve">calendar </w:t>
      </w:r>
      <w:r>
        <w:t xml:space="preserve">months,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r w:rsidR="00BA0BAE">
        <w:t>Frequency Measurable Events (FME)</w:t>
      </w:r>
      <w:r>
        <w:t xml:space="preserve"> or any limitations exhibited within its dynamic models</w:t>
      </w:r>
      <w:r w:rsidR="00615B19">
        <w:t xml:space="preserve"> or through </w:t>
      </w:r>
      <w:r w:rsidR="0007034B">
        <w:t>droop performance tests on as needed basis</w:t>
      </w:r>
      <w:r w:rsidR="008C5EE9">
        <w:t xml:space="preserve">. </w:t>
      </w:r>
    </w:p>
    <w:p w14:paraId="758C143E" w14:textId="46CAC0CB" w:rsidR="00E60B19" w:rsidRDefault="007E6734" w:rsidP="00E60B19">
      <w:pPr>
        <w:spacing w:after="240"/>
      </w:pPr>
      <w:r>
        <w:t xml:space="preserve">If the RRS limit is </w:t>
      </w:r>
      <w:r w:rsidR="0007034B">
        <w:t xml:space="preserve">to be </w:t>
      </w:r>
      <w:r>
        <w:t>determined based upon Resources performance during an FME then such RRS</w:t>
      </w:r>
      <w:r w:rsidR="008C5EE9">
        <w:t xml:space="preserve"> limit shall be </w:t>
      </w:r>
      <w:r w:rsidR="0007034B">
        <w:t xml:space="preserve">calculated as follows, </w:t>
      </w:r>
    </w:p>
    <w:p w14:paraId="19F1874F" w14:textId="69572024"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 xml:space="preserve">and CLR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61E0B40B"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6AE15C0" wp14:editId="0F855738">
                <wp:simplePos x="0" y="0"/>
                <wp:positionH relativeFrom="margin">
                  <wp:align>right</wp:align>
                </wp:positionH>
                <wp:positionV relativeFrom="paragraph">
                  <wp:posOffset>7951</wp:posOffset>
                </wp:positionV>
                <wp:extent cx="5955113" cy="472264"/>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4722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0C2C16" w14:textId="7777777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(Unit</m:t>
                                        </m:r>
                                      </m:e>
                                      <m:sub>
                                        <m:r>
                                          <w:rPr>
                                            <w:rFonts w:ascii="Cambria Math" w:hAnsi="Cambria Math" w:cstheme="minorBidi"/>
                                            <w:color w:val="000000" w:themeColor="text1"/>
                                            <w:sz w:val="22"/>
                                            <w:szCs w:val="22"/>
                                          </w:rPr>
                                          <m:t>HSL</m:t>
                                        </m:r>
                                      </m:sub>
                                    </m:sSub>
                                    <m:r>
                                      <w:rPr>
                                        <w:rFonts w:ascii="Cambria Math" w:hAnsi="Cambria Math" w:cstheme="minorBidi"/>
                                        <w:color w:val="000000" w:themeColor="text1"/>
                                        <w:sz w:val="22"/>
                                        <w:szCs w:val="22"/>
                                      </w:rPr>
                                      <m:t>-NFRC)</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type w14:anchorId="76AE15C0" id="_x0000_t202" coordsize="21600,21600" o:spt="202" path="m,l,21600r21600,l21600,xe">
                <v:stroke joinstyle="miter"/>
                <v:path gradientshapeok="t" o:connecttype="rect"/>
              </v:shapetype>
              <v:shape id="TextBox 2" o:spid="_x0000_s1026" type="#_x0000_t202" style="position:absolute;margin-left:417.7pt;margin-top:.65pt;width:468.9pt;height:37.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" filled="f" stroked="f">
                <v:textbox inset="0,0,0,0">
                  <w:txbxContent>
                    <w:p w14:paraId="550C2C16" w14:textId="77777777"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(Unit</m:t>
                                  </m:r>
                                </m:e>
                                <m:sub>
                                  <m:r>
                                    <w:rPr>
                                      <w:rFonts w:ascii="Cambria Math" w:hAnsi="Cambria Math" w:cstheme="minorBidi"/>
                                      <w:color w:val="000000" w:themeColor="text1"/>
                                      <w:sz w:val="22"/>
                                      <w:szCs w:val="22"/>
                                    </w:rPr>
                                    <m:t>HSL</m:t>
                                  </m:r>
                                </m:sub>
                              </m:sSub>
                              <m:r>
                                <w:rPr>
                                  <w:rFonts w:ascii="Cambria Math" w:hAnsi="Cambria Math" w:cstheme="minorBidi"/>
                                  <w:color w:val="000000" w:themeColor="text1"/>
                                  <w:sz w:val="22"/>
                                  <w:szCs w:val="22"/>
                                </w:rPr>
                                <m:t>-NFRC)</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0467FBBE" w14:textId="77777777" w:rsidR="00E60B19" w:rsidRDefault="00E60B19" w:rsidP="00E60B19">
      <w:pPr>
        <w:spacing w:after="240"/>
      </w:pPr>
    </w:p>
    <w:p w14:paraId="24315129"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096FCB8D" wp14:editId="20E08949">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EB2019B" w14:textId="7777777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96FCB8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6EB2019B" w14:textId="77777777"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Unit</m:t>
                                  </m:r>
                                </m:e>
                                <m:sub>
                                  <m:r>
                                    <w:rPr>
                                      <w:rFonts w:ascii="Cambria Math" w:eastAsia="Cambria Math" w:hAnsi="Cambria Math" w:cstheme="minorBidi"/>
                                      <w:color w:val="000000" w:themeColor="text1"/>
                                      <w:sz w:val="22"/>
                                      <w:szCs w:val="22"/>
                                    </w:rPr>
                                    <m:t>DB</m:t>
                                  </m:r>
                                </m:sub>
                              </m:sSub>
                            </m:den>
                          </m:f>
                        </m:oMath>
                      </m:oMathPara>
                    </w:p>
                  </w:txbxContent>
                </v:textbox>
                <w10:wrap anchorx="margin"/>
              </v:shape>
            </w:pict>
          </mc:Fallback>
        </mc:AlternateContent>
      </w:r>
    </w:p>
    <w:p w14:paraId="13036106" w14:textId="77777777" w:rsidR="00124C4D" w:rsidRDefault="00124C4D" w:rsidP="00124C4D">
      <w:pPr>
        <w:spacing w:after="240"/>
      </w:pPr>
    </w:p>
    <w:p w14:paraId="03ADCF77" w14:textId="1D2985CA" w:rsidR="0007034B" w:rsidRDefault="0007034B" w:rsidP="0020417D">
      <w:pPr>
        <w:pStyle w:val="ListParagraph"/>
        <w:numPr>
          <w:ilvl w:val="0"/>
          <w:numId w:val="22"/>
        </w:numPr>
        <w:spacing w:after="240"/>
      </w:pPr>
      <w:r>
        <w:t xml:space="preserve">A </w:t>
      </w:r>
      <w:r w:rsidRPr="0020417D">
        <w:t xml:space="preserve">median </w:t>
      </w:r>
      <w:r w:rsidRPr="00A95044">
        <w:t xml:space="preserve">of the </w:t>
      </w:r>
      <w:r w:rsidR="00DE586C">
        <w:t xml:space="preserve">calculated MW Limits in the </w:t>
      </w:r>
      <w:r w:rsidRPr="00A95044">
        <w:t xml:space="preserve">last </w:t>
      </w:r>
      <w:r w:rsidRPr="0020417D">
        <w:t>five</w:t>
      </w:r>
      <w:r w:rsidR="00DE586C">
        <w:t xml:space="preserve"> FMEs</w:t>
      </w:r>
      <w:r>
        <w:t xml:space="preserve"> </w:t>
      </w:r>
      <w:r w:rsidR="00DE586C">
        <w:t xml:space="preserve">prior to the failure in the FME that triggered the review under Section 3 </w:t>
      </w:r>
      <w:r>
        <w:t>will be computed for each individual Generation Resource</w:t>
      </w:r>
      <w:r w:rsidR="00DE586C">
        <w:t xml:space="preserve"> </w:t>
      </w:r>
      <w:r>
        <w:t>and CLR.</w:t>
      </w:r>
    </w:p>
    <w:p w14:paraId="3DFCC91E" w14:textId="77777777" w:rsidR="0007034B" w:rsidRDefault="0007034B" w:rsidP="0020417D">
      <w:pPr>
        <w:pStyle w:val="ListParagraph"/>
        <w:numPr>
          <w:ilvl w:val="0"/>
          <w:numId w:val="22"/>
        </w:numPr>
        <w:spacing w:after="240"/>
      </w:pPr>
      <w:r>
        <w:lastRenderedPageBreak/>
        <w:t xml:space="preserve">A median of </w:t>
      </w:r>
      <w:r w:rsidR="00DE586C">
        <w:t xml:space="preserve">all FMEs during </w:t>
      </w:r>
      <w:r>
        <w:t xml:space="preserve">previous two months </w:t>
      </w:r>
      <w:bookmarkStart w:id="250" w:name="_GoBack"/>
      <w:bookmarkEnd w:id="250"/>
      <w:r>
        <w:t>prior to the failure in the FME that triggered the review under Section 3 will be computed</w:t>
      </w:r>
      <w:r w:rsidR="00DE586C">
        <w:t xml:space="preserve"> for each individual Generation Resource and CLR</w:t>
      </w:r>
      <w:r>
        <w:t>.</w:t>
      </w:r>
    </w:p>
    <w:p w14:paraId="25BC6947" w14:textId="77777777" w:rsidR="0007034B" w:rsidRDefault="0007034B" w:rsidP="0020417D">
      <w:pPr>
        <w:pStyle w:val="ListParagraph"/>
        <w:numPr>
          <w:ilvl w:val="0"/>
          <w:numId w:val="22"/>
        </w:numPr>
        <w:spacing w:after="240"/>
      </w:pPr>
      <w:r>
        <w:t>RRS MW limit will be established based on lower of the values computed in Steps 2 and 3.</w:t>
      </w:r>
    </w:p>
    <w:p w14:paraId="481F996A" w14:textId="5CFE48F5" w:rsidR="00F22E35" w:rsidRDefault="00DE586C" w:rsidP="00F22E35">
      <w:pPr>
        <w:spacing w:after="240"/>
      </w:pPr>
      <w:r>
        <w:t>Note i</w:t>
      </w:r>
      <w:r w:rsidR="00F22E35">
        <w:t xml:space="preserve">f a </w:t>
      </w:r>
      <w:r>
        <w:t xml:space="preserve">Generation </w:t>
      </w:r>
      <w:r w:rsidR="00F22E35">
        <w:t>Resource</w:t>
      </w:r>
      <w:r>
        <w:t xml:space="preserve"> or CLRs</w:t>
      </w:r>
      <w:r w:rsidR="00F22E35">
        <w:t>’s performance during an FME is excluded per the current process (BAL-TRE-001) from the rolling average calculation, the Resource’s performance will also be excluded from the RRS MW Limit calculation.</w:t>
      </w:r>
      <w:r>
        <w:t xml:space="preserve"> Also note that all members of a Combined Cycle Plants will be evaluated as one Generation Resource for the purposes of this evaluation.</w:t>
      </w:r>
    </w:p>
    <w:p w14:paraId="7F4D626D" w14:textId="77777777" w:rsidR="00112301" w:rsidRPr="00401EC8" w:rsidRDefault="00124C4D" w:rsidP="00124C4D">
      <w:pPr>
        <w:pStyle w:val="Heading2"/>
        <w:rPr>
          <w:sz w:val="24"/>
          <w:szCs w:val="24"/>
        </w:rPr>
      </w:pPr>
      <w:r w:rsidRPr="00401EC8">
        <w:rPr>
          <w:sz w:val="24"/>
          <w:szCs w:val="24"/>
        </w:rPr>
        <w:t>Calculation Definitions</w:t>
      </w:r>
    </w:p>
    <w:p w14:paraId="56C5F784" w14:textId="77777777" w:rsidR="00124C4D" w:rsidRDefault="00124C4D" w:rsidP="00124C4D">
      <w:pPr>
        <w:ind w:left="1260"/>
      </w:pPr>
      <w:r w:rsidRPr="00401EC8">
        <w:rPr>
          <w:b/>
        </w:rPr>
        <w:t>Delta Hertz (</w:t>
      </w:r>
      <w:r w:rsidRPr="00401EC8">
        <w:rPr>
          <w:rFonts w:cs="Arial"/>
          <w:b/>
        </w:rPr>
        <w:t>∆</w:t>
      </w:r>
      <w:r w:rsidRPr="00401EC8">
        <w:rPr>
          <w:b/>
        </w:rPr>
        <w:t>Hz):</w:t>
      </w:r>
      <w:r>
        <w:t xml:space="preserve"> </w:t>
      </w:r>
      <w:r w:rsidR="00C45688">
        <w:t xml:space="preserve">The pre-perturbation </w:t>
      </w:r>
      <w:r w:rsidR="00C45688" w:rsidRPr="00C45688">
        <w:t>[the 16-second period of time before t(0)]</w:t>
      </w:r>
      <w:r w:rsidR="00C45688">
        <w:t xml:space="preserve"> average frequency minus the post-perturbation </w:t>
      </w:r>
      <w:r w:rsidR="00C45688" w:rsidRPr="00C45688">
        <w:t>[the 32-second period of time starting 20 seconds after t(0)]</w:t>
      </w:r>
      <w:r w:rsidR="00C45688">
        <w:t xml:space="preserve"> average frequency </w:t>
      </w:r>
    </w:p>
    <w:p w14:paraId="03B56FFA" w14:textId="77777777" w:rsidR="00401EC8" w:rsidRDefault="00401EC8" w:rsidP="00124C4D">
      <w:pPr>
        <w:ind w:left="1260"/>
      </w:pPr>
    </w:p>
    <w:p w14:paraId="6295884F" w14:textId="77777777" w:rsidR="00401EC8" w:rsidRDefault="00401EC8" w:rsidP="00124C4D">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1D9B2B46" w14:textId="77777777" w:rsidR="00C45688" w:rsidRDefault="00C45688" w:rsidP="00401EC8"/>
    <w:p w14:paraId="64D7D779" w14:textId="77777777" w:rsidR="00F22E35" w:rsidRDefault="00C45688" w:rsidP="00F22E35">
      <w:pPr>
        <w:ind w:left="1260"/>
      </w:pPr>
      <w:r w:rsidRPr="00401EC8">
        <w:rPr>
          <w:b/>
        </w:rPr>
        <w:t>Scheduled Frequency:</w:t>
      </w:r>
      <w:r>
        <w:t xml:space="preserve"> </w:t>
      </w:r>
      <w:r w:rsidR="00F22E35">
        <w:t>The frequency value to be maintained on the system, always 60 Hz</w:t>
      </w:r>
    </w:p>
    <w:p w14:paraId="47721BE4" w14:textId="77777777" w:rsidR="00F22E35" w:rsidRDefault="00F22E35" w:rsidP="00F22E35">
      <w:pPr>
        <w:ind w:left="1260"/>
      </w:pPr>
    </w:p>
    <w:p w14:paraId="7FA4D8FC" w14:textId="77777777" w:rsidR="00F22E35" w:rsidRDefault="00F22E35" w:rsidP="00F22E35">
      <w:pPr>
        <w:ind w:left="1260"/>
      </w:pPr>
      <w:r w:rsidRPr="00401EC8">
        <w:rPr>
          <w:b/>
        </w:rPr>
        <w:t>Non-Frequency Responsive Capability (NFRC):</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72252F9C" w14:textId="77777777" w:rsidR="00401EC8" w:rsidRDefault="00401EC8" w:rsidP="00F22E35">
      <w:pPr>
        <w:ind w:left="1260"/>
      </w:pPr>
    </w:p>
    <w:p w14:paraId="17A05B73" w14:textId="77777777" w:rsidR="00401EC8" w:rsidRDefault="00401EC8" w:rsidP="00401EC8">
      <w:pPr>
        <w:ind w:left="1260"/>
      </w:pPr>
      <w:r w:rsidRPr="00401EC8">
        <w:rPr>
          <w:b/>
        </w:rPr>
        <w:t>Unit Dead Band (Unit</w:t>
      </w:r>
      <w:r w:rsidRPr="00401EC8">
        <w:rPr>
          <w:b/>
          <w:sz w:val="20"/>
          <w:vertAlign w:val="subscript"/>
        </w:rPr>
        <w:t>DB</w:t>
      </w:r>
      <w:r w:rsidRPr="00401EC8">
        <w:rPr>
          <w:b/>
        </w:rPr>
        <w:t>):</w:t>
      </w:r>
      <w:r>
        <w:t xml:space="preserve"> The range of deviations of system frequency (+/-) that produces no PFR</w:t>
      </w:r>
    </w:p>
    <w:p w14:paraId="7DE11447" w14:textId="77777777" w:rsidR="00401EC8" w:rsidRDefault="00401EC8" w:rsidP="00F22E35">
      <w:pPr>
        <w:ind w:left="1260"/>
      </w:pPr>
    </w:p>
    <w:p w14:paraId="3ED3EF44" w14:textId="77777777" w:rsidR="00112301" w:rsidRDefault="00EF6947" w:rsidP="00B77D83">
      <w:pPr>
        <w:pStyle w:val="Heading2"/>
      </w:pPr>
      <w:bookmarkStart w:id="251" w:name="_Toc1659329"/>
      <w:r>
        <w:t>RRS</w:t>
      </w:r>
      <w:r w:rsidR="002246A1">
        <w:t xml:space="preserve"> MW</w:t>
      </w:r>
      <w:r>
        <w:t xml:space="preserve"> Limit Updates</w:t>
      </w:r>
      <w:bookmarkEnd w:id="251"/>
    </w:p>
    <w:p w14:paraId="638EC6C3" w14:textId="77777777" w:rsidR="00EF6947" w:rsidRPr="00EF6947" w:rsidRDefault="00EF6947" w:rsidP="00EF6947">
      <w:r>
        <w:t xml:space="preserve">ERCOT will recalculate the </w:t>
      </w:r>
      <w:r w:rsidR="002246A1">
        <w:t>MW</w:t>
      </w:r>
      <w:r>
        <w:t xml:space="preserve"> Limit on each individual </w:t>
      </w:r>
      <w:r w:rsidR="00DE586C">
        <w:t xml:space="preserve">Generation </w:t>
      </w:r>
      <w:r>
        <w:t>Resource</w:t>
      </w:r>
      <w:r w:rsidR="00DE586C">
        <w:t xml:space="preserve"> and CLR</w:t>
      </w:r>
      <w:r>
        <w:t xml:space="preserve"> </w:t>
      </w:r>
      <w:r w:rsidR="00A95044">
        <w:t xml:space="preserve">on a rolling basis utilizing the last </w:t>
      </w:r>
      <w:r w:rsidR="00A95044" w:rsidRPr="0020417D">
        <w:t>ten</w:t>
      </w:r>
      <w:r w:rsidR="00A95044">
        <w:t xml:space="preserve"> evaluated FMEs.</w:t>
      </w:r>
      <w:r>
        <w:t xml:space="preserve"> ERCOT shall post </w:t>
      </w:r>
      <w:r w:rsidR="00D67A96">
        <w:t xml:space="preserve">on the MIS Certified area </w:t>
      </w:r>
      <w:r w:rsidR="000877C4">
        <w:t xml:space="preserve">the MW limit </w:t>
      </w:r>
      <w:r w:rsidR="00060698">
        <w:t>for</w:t>
      </w:r>
      <w:r w:rsidR="000877C4">
        <w:t xml:space="preserve"> each Resource</w:t>
      </w:r>
      <w:r w:rsidR="002246A1">
        <w:t xml:space="preserve"> providing RRS</w:t>
      </w:r>
      <w:r w:rsidR="00060698">
        <w:t xml:space="preserve"> for each quarter</w:t>
      </w:r>
      <w:r w:rsidR="002246A1">
        <w:t xml:space="preserve"> by the 20</w:t>
      </w:r>
      <w:r w:rsidR="002246A1" w:rsidRPr="002246A1">
        <w:rPr>
          <w:vertAlign w:val="superscript"/>
        </w:rPr>
        <w:t>th</w:t>
      </w:r>
      <w:r w:rsidR="002246A1">
        <w:t xml:space="preserve"> day of the first month </w:t>
      </w:r>
      <w:r w:rsidR="00D67A96">
        <w:t>of the previous</w:t>
      </w:r>
      <w:r w:rsidR="002246A1">
        <w:t xml:space="preserve"> quarter. For example, </w:t>
      </w:r>
      <w:r w:rsidR="006824A8">
        <w:t>for the first quarter of the</w:t>
      </w:r>
      <w:r w:rsidR="003D5637">
        <w:t xml:space="preserve"> year, </w:t>
      </w:r>
      <w:r w:rsidR="002246A1">
        <w:t xml:space="preserve">ERCOT shall post the MW Limit for each Resource by October </w:t>
      </w:r>
      <w:r w:rsidR="00B25995">
        <w:t xml:space="preserve">20th </w:t>
      </w:r>
      <w:r w:rsidR="003D5637">
        <w:t>of the previous year</w:t>
      </w:r>
      <w:r w:rsidR="002246A1">
        <w:t xml:space="preserve">. </w:t>
      </w:r>
    </w:p>
    <w:sectPr w:rsidR="00EF6947"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6AE13" w14:textId="77777777" w:rsidR="00D35658" w:rsidRDefault="00D35658">
      <w:r>
        <w:separator/>
      </w:r>
    </w:p>
  </w:endnote>
  <w:endnote w:type="continuationSeparator" w:id="0">
    <w:p w14:paraId="4A3CE4BB" w14:textId="77777777" w:rsidR="00D35658" w:rsidRDefault="00D3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75A1"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6EA8815D" w14:textId="77777777" w:rsidTr="00646598">
      <w:tc>
        <w:tcPr>
          <w:tcW w:w="2500" w:type="pct"/>
          <w:shd w:val="clear" w:color="auto" w:fill="auto"/>
          <w:vAlign w:val="center"/>
        </w:tcPr>
        <w:p w14:paraId="6988F272"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45C9ED7C"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177CC63"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C93D"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20417D">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0B74"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20417D">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A2AA" w14:textId="77777777" w:rsidR="00D35658" w:rsidRDefault="00D35658">
      <w:r>
        <w:separator/>
      </w:r>
    </w:p>
  </w:footnote>
  <w:footnote w:type="continuationSeparator" w:id="0">
    <w:p w14:paraId="2372141E" w14:textId="77777777" w:rsidR="00D35658" w:rsidRDefault="00D3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7FD5"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6E23AF14" w14:textId="77777777" w:rsidTr="00646598">
      <w:tc>
        <w:tcPr>
          <w:tcW w:w="2500" w:type="pct"/>
          <w:shd w:val="clear" w:color="auto" w:fill="FFFFFF" w:themeFill="background1"/>
          <w:vAlign w:val="center"/>
        </w:tcPr>
        <w:p w14:paraId="3FD2CD81"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522ABC0" w14:textId="77777777"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p>
      </w:tc>
    </w:tr>
  </w:tbl>
  <w:p w14:paraId="6A00734C"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D944"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7F1C"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75A7"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F0B4"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6"/>
  </w:num>
  <w:num w:numId="21">
    <w:abstractNumId w:val="21"/>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7013F"/>
    <w:rsid w:val="0007030C"/>
    <w:rsid w:val="0007034B"/>
    <w:rsid w:val="0007384F"/>
    <w:rsid w:val="00074EC8"/>
    <w:rsid w:val="00082816"/>
    <w:rsid w:val="0008593E"/>
    <w:rsid w:val="00086FAF"/>
    <w:rsid w:val="000877C4"/>
    <w:rsid w:val="000971C8"/>
    <w:rsid w:val="00097ACC"/>
    <w:rsid w:val="000A6C95"/>
    <w:rsid w:val="000A724A"/>
    <w:rsid w:val="000B0A53"/>
    <w:rsid w:val="000B15BD"/>
    <w:rsid w:val="000C0410"/>
    <w:rsid w:val="000C1A27"/>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87885"/>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AD9"/>
    <w:rsid w:val="00230C1B"/>
    <w:rsid w:val="002326F0"/>
    <w:rsid w:val="00234B7B"/>
    <w:rsid w:val="00237F2B"/>
    <w:rsid w:val="0024094C"/>
    <w:rsid w:val="00243795"/>
    <w:rsid w:val="00251A9A"/>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D5637"/>
    <w:rsid w:val="003E67BA"/>
    <w:rsid w:val="003F2E87"/>
    <w:rsid w:val="003F2FE1"/>
    <w:rsid w:val="003F3D05"/>
    <w:rsid w:val="003F6439"/>
    <w:rsid w:val="003F6BE0"/>
    <w:rsid w:val="003F7B1C"/>
    <w:rsid w:val="00400290"/>
    <w:rsid w:val="00400806"/>
    <w:rsid w:val="00401EC8"/>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9D2"/>
    <w:rsid w:val="004B7B20"/>
    <w:rsid w:val="004C0B6A"/>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6C1"/>
    <w:rsid w:val="00612D8C"/>
    <w:rsid w:val="00612DC1"/>
    <w:rsid w:val="00614670"/>
    <w:rsid w:val="00614765"/>
    <w:rsid w:val="0061526B"/>
    <w:rsid w:val="006158FA"/>
    <w:rsid w:val="00615B19"/>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4A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734"/>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1FC"/>
    <w:rsid w:val="00870546"/>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0818"/>
    <w:rsid w:val="008C17B5"/>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FF2"/>
    <w:rsid w:val="009006ED"/>
    <w:rsid w:val="00901A03"/>
    <w:rsid w:val="00903D3A"/>
    <w:rsid w:val="009136F3"/>
    <w:rsid w:val="009151DA"/>
    <w:rsid w:val="00917787"/>
    <w:rsid w:val="00920733"/>
    <w:rsid w:val="0092211A"/>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1689"/>
    <w:rsid w:val="00977590"/>
    <w:rsid w:val="00980F59"/>
    <w:rsid w:val="0098552A"/>
    <w:rsid w:val="00992261"/>
    <w:rsid w:val="0099334B"/>
    <w:rsid w:val="00995011"/>
    <w:rsid w:val="009955E2"/>
    <w:rsid w:val="00995D1D"/>
    <w:rsid w:val="00996272"/>
    <w:rsid w:val="00997179"/>
    <w:rsid w:val="009A0B9A"/>
    <w:rsid w:val="009A4C07"/>
    <w:rsid w:val="009B14C6"/>
    <w:rsid w:val="009B77D5"/>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67E2"/>
    <w:rsid w:val="00A9054F"/>
    <w:rsid w:val="00A9154B"/>
    <w:rsid w:val="00A936EB"/>
    <w:rsid w:val="00A95044"/>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57D"/>
    <w:rsid w:val="00B13A99"/>
    <w:rsid w:val="00B20F6B"/>
    <w:rsid w:val="00B21749"/>
    <w:rsid w:val="00B22D28"/>
    <w:rsid w:val="00B22EA7"/>
    <w:rsid w:val="00B25995"/>
    <w:rsid w:val="00B25DC1"/>
    <w:rsid w:val="00B33B13"/>
    <w:rsid w:val="00B3669E"/>
    <w:rsid w:val="00B423D5"/>
    <w:rsid w:val="00B43C18"/>
    <w:rsid w:val="00B44532"/>
    <w:rsid w:val="00B44EA0"/>
    <w:rsid w:val="00B4595F"/>
    <w:rsid w:val="00B468B2"/>
    <w:rsid w:val="00B5153D"/>
    <w:rsid w:val="00B54C8C"/>
    <w:rsid w:val="00B56617"/>
    <w:rsid w:val="00B5730A"/>
    <w:rsid w:val="00B6057B"/>
    <w:rsid w:val="00B60911"/>
    <w:rsid w:val="00B60AE8"/>
    <w:rsid w:val="00B6133D"/>
    <w:rsid w:val="00B63E33"/>
    <w:rsid w:val="00B6412E"/>
    <w:rsid w:val="00B66523"/>
    <w:rsid w:val="00B67A4A"/>
    <w:rsid w:val="00B7195A"/>
    <w:rsid w:val="00B75C8F"/>
    <w:rsid w:val="00B7718B"/>
    <w:rsid w:val="00B77D83"/>
    <w:rsid w:val="00B817A0"/>
    <w:rsid w:val="00B828E1"/>
    <w:rsid w:val="00B86072"/>
    <w:rsid w:val="00B8748E"/>
    <w:rsid w:val="00B90201"/>
    <w:rsid w:val="00B90976"/>
    <w:rsid w:val="00B90DC0"/>
    <w:rsid w:val="00B94E30"/>
    <w:rsid w:val="00B96050"/>
    <w:rsid w:val="00B97DAF"/>
    <w:rsid w:val="00B97E8C"/>
    <w:rsid w:val="00BA0BAE"/>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88"/>
    <w:rsid w:val="00C456A9"/>
    <w:rsid w:val="00C469BB"/>
    <w:rsid w:val="00C46FB2"/>
    <w:rsid w:val="00C519B1"/>
    <w:rsid w:val="00C52051"/>
    <w:rsid w:val="00C57481"/>
    <w:rsid w:val="00C606EB"/>
    <w:rsid w:val="00C64EEA"/>
    <w:rsid w:val="00C67F49"/>
    <w:rsid w:val="00C71A66"/>
    <w:rsid w:val="00C7592F"/>
    <w:rsid w:val="00C77865"/>
    <w:rsid w:val="00C80F64"/>
    <w:rsid w:val="00C81B13"/>
    <w:rsid w:val="00C8203A"/>
    <w:rsid w:val="00C8521E"/>
    <w:rsid w:val="00C90B31"/>
    <w:rsid w:val="00C93B66"/>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0FE0"/>
    <w:rsid w:val="00D11CC9"/>
    <w:rsid w:val="00D122EC"/>
    <w:rsid w:val="00D147CF"/>
    <w:rsid w:val="00D16165"/>
    <w:rsid w:val="00D3212A"/>
    <w:rsid w:val="00D33718"/>
    <w:rsid w:val="00D35658"/>
    <w:rsid w:val="00D35B45"/>
    <w:rsid w:val="00D3741E"/>
    <w:rsid w:val="00D40722"/>
    <w:rsid w:val="00D4400C"/>
    <w:rsid w:val="00D46EAE"/>
    <w:rsid w:val="00D474CD"/>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3B61"/>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586C"/>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33F"/>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0B19"/>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86E"/>
    <w:rsid w:val="00EF7C10"/>
    <w:rsid w:val="00F015B8"/>
    <w:rsid w:val="00F0215B"/>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B176D"/>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0D57F-FEFB-4BA7-A1D9-60939F0C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6</TotalTime>
  <Pages>7</Pages>
  <Words>884</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5849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Hinojosa, Jose Luis</cp:lastModifiedBy>
  <cp:revision>3</cp:revision>
  <cp:lastPrinted>2016-01-26T23:30:00Z</cp:lastPrinted>
  <dcterms:created xsi:type="dcterms:W3CDTF">2019-06-11T21:08:00Z</dcterms:created>
  <dcterms:modified xsi:type="dcterms:W3CDTF">2019-06-11T21:14:00Z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