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7139" w:rsidRDefault="008B0762" w:rsidP="00670CF6">
      <w:pPr>
        <w:spacing w:after="120"/>
        <w:jc w:val="center"/>
        <w:rPr>
          <w:b/>
          <w:sz w:val="28"/>
        </w:rPr>
      </w:pPr>
      <w:r>
        <w:rPr>
          <w:noProof/>
        </w:rPr>
        <mc:AlternateContent>
          <mc:Choice Requires="wps">
            <w:drawing>
              <wp:anchor distT="0" distB="0" distL="114300" distR="114300" simplePos="0" relativeHeight="251659264" behindDoc="0" locked="0" layoutInCell="1" allowOverlap="1" wp14:anchorId="000B469A" wp14:editId="4BA038DE">
                <wp:simplePos x="0" y="0"/>
                <wp:positionH relativeFrom="column">
                  <wp:posOffset>4876800</wp:posOffset>
                </wp:positionH>
                <wp:positionV relativeFrom="paragraph">
                  <wp:posOffset>-816610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7139" w:rsidRDefault="007A7604">
                            <w:pPr>
                              <w:jc w:val="center"/>
                              <w:rPr>
                                <w:color w:val="1F4E79" w:themeColor="accent1" w:themeShade="80"/>
                                <w:sz w:val="28"/>
                              </w:rPr>
                            </w:pPr>
                            <w:r>
                              <w:rPr>
                                <w:color w:val="1F4E79" w:themeColor="accent1" w:themeShade="80"/>
                                <w:sz w:val="28"/>
                              </w:rPr>
                              <w:t>08-15</w:t>
                            </w:r>
                            <w:r w:rsidR="00A44F62">
                              <w:rPr>
                                <w:color w:val="1F4E79" w:themeColor="accent1" w:themeShade="80"/>
                                <w:sz w:val="28"/>
                              </w:rPr>
                              <w:t>-17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4pt;margin-top:-64.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" filled="f" stroked="f">
                <v:textbox style="mso-fit-shape-to-text:t">
                  <w:txbxContent>
                    <w:p w:rsidR="00107139" w:rsidRDefault="007A7604">
                      <w:pPr>
                        <w:jc w:val="center"/>
                        <w:rPr>
                          <w:color w:val="1F4E79" w:themeColor="accent1" w:themeShade="80"/>
                          <w:sz w:val="28"/>
                        </w:rPr>
                      </w:pPr>
                      <w:r>
                        <w:rPr>
                          <w:color w:val="1F4E79" w:themeColor="accent1" w:themeShade="80"/>
                          <w:sz w:val="28"/>
                        </w:rPr>
                        <w:t>08-15</w:t>
                      </w:r>
                      <w:r w:rsidR="00A44F62">
                        <w:rPr>
                          <w:color w:val="1F4E79" w:themeColor="accent1" w:themeShade="80"/>
                          <w:sz w:val="28"/>
                        </w:rPr>
                        <w:t>-17</w:t>
                      </w:r>
                    </w:p>
                  </w:txbxContent>
                </v:textbox>
              </v:shape>
            </w:pict>
          </mc:Fallback>
        </mc:AlternateContent>
      </w:r>
      <w:r w:rsidR="001D1B56">
        <w:rPr>
          <w:b/>
          <w:sz w:val="28"/>
        </w:rPr>
        <w:t xml:space="preserve">AEP Texas &amp; </w:t>
      </w:r>
      <w:r w:rsidR="003A7D9D">
        <w:rPr>
          <w:b/>
          <w:sz w:val="28"/>
        </w:rPr>
        <w:t>Oncor</w:t>
      </w:r>
      <w:r>
        <w:rPr>
          <w:b/>
          <w:sz w:val="28"/>
        </w:rPr>
        <w:t xml:space="preserve"> </w:t>
      </w:r>
      <w:r w:rsidR="00886016">
        <w:rPr>
          <w:b/>
          <w:sz w:val="28"/>
        </w:rPr>
        <w:br/>
      </w:r>
      <w:r w:rsidR="001D1B56">
        <w:rPr>
          <w:b/>
          <w:sz w:val="28"/>
        </w:rPr>
        <w:t>Mission</w:t>
      </w:r>
      <w:r w:rsidR="00670CF6">
        <w:rPr>
          <w:b/>
          <w:sz w:val="28"/>
        </w:rPr>
        <w:t>/</w:t>
      </w:r>
      <w:r w:rsidR="001D1B56">
        <w:rPr>
          <w:b/>
          <w:sz w:val="28"/>
        </w:rPr>
        <w:t>McAllen</w:t>
      </w:r>
      <w:r w:rsidR="00670CF6">
        <w:rPr>
          <w:b/>
          <w:sz w:val="28"/>
        </w:rPr>
        <w:t>/</w:t>
      </w:r>
      <w:proofErr w:type="spellStart"/>
      <w:r w:rsidR="003A7D9D">
        <w:rPr>
          <w:b/>
          <w:sz w:val="28"/>
        </w:rPr>
        <w:t>Sharyland</w:t>
      </w:r>
      <w:proofErr w:type="spellEnd"/>
      <w:r>
        <w:rPr>
          <w:b/>
          <w:sz w:val="28"/>
        </w:rPr>
        <w:t xml:space="preserve"> </w:t>
      </w:r>
      <w:r w:rsidR="00670CF6">
        <w:rPr>
          <w:b/>
          <w:sz w:val="28"/>
        </w:rPr>
        <w:br/>
        <w:t xml:space="preserve">ESI ID </w:t>
      </w:r>
      <w:r w:rsidR="00886016">
        <w:rPr>
          <w:b/>
          <w:sz w:val="28"/>
        </w:rPr>
        <w:t>Transition</w:t>
      </w:r>
      <w:r w:rsidR="00670CF6">
        <w:rPr>
          <w:b/>
          <w:sz w:val="28"/>
        </w:rPr>
        <w:t xml:space="preserve"> </w:t>
      </w:r>
      <w:r w:rsidR="003A7D9D">
        <w:rPr>
          <w:b/>
          <w:sz w:val="28"/>
        </w:rPr>
        <w:t>Retail Market FAQs</w:t>
      </w:r>
    </w:p>
    <w:p w:rsidR="00107139" w:rsidRDefault="00107139">
      <w:pPr>
        <w:spacing w:after="120"/>
      </w:pPr>
    </w:p>
    <w:p w:rsidR="00107139" w:rsidRDefault="008B0762">
      <w:pPr>
        <w:tabs>
          <w:tab w:val="left" w:pos="540"/>
        </w:tabs>
        <w:spacing w:after="60"/>
        <w:rPr>
          <w:b/>
        </w:rPr>
      </w:pPr>
      <w:r>
        <w:rPr>
          <w:b/>
        </w:rPr>
        <w:t>Q</w:t>
      </w:r>
      <w:r w:rsidR="003B4980">
        <w:rPr>
          <w:b/>
        </w:rPr>
        <w:t>1</w:t>
      </w:r>
      <w:r>
        <w:rPr>
          <w:b/>
        </w:rPr>
        <w:t>:</w:t>
      </w:r>
      <w:r>
        <w:rPr>
          <w:b/>
        </w:rPr>
        <w:tab/>
        <w:t xml:space="preserve">What is the proposed deal between </w:t>
      </w:r>
      <w:r w:rsidR="0091616C">
        <w:rPr>
          <w:b/>
        </w:rPr>
        <w:t>Oncor</w:t>
      </w:r>
      <w:r>
        <w:rPr>
          <w:b/>
        </w:rPr>
        <w:t xml:space="preserve"> and </w:t>
      </w:r>
      <w:r w:rsidR="0091616C">
        <w:rPr>
          <w:b/>
        </w:rPr>
        <w:t>AEP Texas</w:t>
      </w:r>
      <w:r>
        <w:rPr>
          <w:b/>
        </w:rPr>
        <w:t>?</w:t>
      </w:r>
    </w:p>
    <w:p w:rsidR="00107139" w:rsidRDefault="008B0762">
      <w:pPr>
        <w:tabs>
          <w:tab w:val="left" w:pos="540"/>
        </w:tabs>
        <w:spacing w:after="120"/>
        <w:ind w:left="540" w:hanging="540"/>
        <w:rPr>
          <w:rFonts w:cs="Arial"/>
        </w:rPr>
      </w:pPr>
      <w:r>
        <w:rPr>
          <w:rFonts w:cs="Arial"/>
        </w:rPr>
        <w:t>A:</w:t>
      </w:r>
      <w:r>
        <w:rPr>
          <w:rFonts w:cs="Arial"/>
        </w:rPr>
        <w:tab/>
      </w:r>
      <w:r w:rsidR="00886016">
        <w:rPr>
          <w:rFonts w:cs="Arial"/>
        </w:rPr>
        <w:t>AEP Texas</w:t>
      </w:r>
      <w:r>
        <w:rPr>
          <w:rFonts w:cs="Arial"/>
        </w:rPr>
        <w:t xml:space="preserve"> </w:t>
      </w:r>
      <w:r w:rsidR="009D6779">
        <w:rPr>
          <w:rFonts w:cs="Arial"/>
        </w:rPr>
        <w:t xml:space="preserve">will acquire </w:t>
      </w:r>
      <w:proofErr w:type="spellStart"/>
      <w:r w:rsidR="00986519">
        <w:rPr>
          <w:rFonts w:cs="Arial"/>
        </w:rPr>
        <w:t>Oncor</w:t>
      </w:r>
      <w:r w:rsidR="009D6779">
        <w:rPr>
          <w:rFonts w:cs="Arial"/>
        </w:rPr>
        <w:t>’s</w:t>
      </w:r>
      <w:proofErr w:type="spellEnd"/>
      <w:r w:rsidR="00542F2C">
        <w:rPr>
          <w:rFonts w:cs="Arial"/>
        </w:rPr>
        <w:t xml:space="preserve"> retail </w:t>
      </w:r>
      <w:r w:rsidR="009D6779">
        <w:rPr>
          <w:rFonts w:cs="Arial"/>
        </w:rPr>
        <w:t xml:space="preserve">distribution assets and </w:t>
      </w:r>
      <w:r w:rsidR="00542F2C">
        <w:rPr>
          <w:rFonts w:cs="Arial"/>
        </w:rPr>
        <w:t xml:space="preserve">retail distribution </w:t>
      </w:r>
      <w:r>
        <w:rPr>
          <w:rFonts w:cs="Arial"/>
        </w:rPr>
        <w:t xml:space="preserve">operations located in </w:t>
      </w:r>
      <w:r w:rsidR="00886016">
        <w:rPr>
          <w:rFonts w:cs="Arial"/>
        </w:rPr>
        <w:t>the cities of McAllen and Mission in Hidalgo County</w:t>
      </w:r>
      <w:r w:rsidR="009D6779">
        <w:rPr>
          <w:rFonts w:cs="Arial"/>
        </w:rPr>
        <w:t xml:space="preserve">, including the </w:t>
      </w:r>
      <w:proofErr w:type="spellStart"/>
      <w:r w:rsidR="00986519">
        <w:rPr>
          <w:rFonts w:cs="Arial"/>
        </w:rPr>
        <w:t>Sharyland</w:t>
      </w:r>
      <w:proofErr w:type="spellEnd"/>
      <w:r w:rsidR="009D6779">
        <w:rPr>
          <w:rFonts w:cs="Arial"/>
        </w:rPr>
        <w:t xml:space="preserve"> Plantation community. The transaction is estimated to cost $18 million.</w:t>
      </w:r>
    </w:p>
    <w:p w:rsidR="00107139" w:rsidRDefault="008B0762">
      <w:pPr>
        <w:spacing w:after="120"/>
        <w:ind w:left="540"/>
        <w:rPr>
          <w:rFonts w:cstheme="minorHAnsi"/>
        </w:rPr>
      </w:pPr>
      <w:r>
        <w:rPr>
          <w:rFonts w:cstheme="minorHAnsi"/>
        </w:rPr>
        <w:t xml:space="preserve">Once the transaction receives the necessary </w:t>
      </w:r>
      <w:r w:rsidR="000F4A33">
        <w:rPr>
          <w:rFonts w:cstheme="minorHAnsi"/>
        </w:rPr>
        <w:t xml:space="preserve">legal and </w:t>
      </w:r>
      <w:r>
        <w:rPr>
          <w:rFonts w:cstheme="minorHAnsi"/>
        </w:rPr>
        <w:t xml:space="preserve">regulatory approvals and after an ERCOT market transition period, </w:t>
      </w:r>
      <w:r w:rsidR="00670CF6">
        <w:rPr>
          <w:rFonts w:cstheme="minorHAnsi"/>
        </w:rPr>
        <w:t>the approximately 3,1</w:t>
      </w:r>
      <w:r w:rsidR="009D6779">
        <w:rPr>
          <w:rFonts w:cstheme="minorHAnsi"/>
        </w:rPr>
        <w:t xml:space="preserve">00 </w:t>
      </w:r>
      <w:r w:rsidR="00986519">
        <w:rPr>
          <w:rFonts w:cstheme="minorHAnsi"/>
        </w:rPr>
        <w:t>Oncor</w:t>
      </w:r>
      <w:r w:rsidR="009D6779">
        <w:rPr>
          <w:rFonts w:cstheme="minorHAnsi"/>
        </w:rPr>
        <w:t xml:space="preserve"> </w:t>
      </w:r>
      <w:r>
        <w:rPr>
          <w:rFonts w:cstheme="minorHAnsi"/>
        </w:rPr>
        <w:t xml:space="preserve">retail electric delivery customers will become </w:t>
      </w:r>
      <w:r w:rsidR="009D6779">
        <w:rPr>
          <w:rFonts w:cstheme="minorHAnsi"/>
        </w:rPr>
        <w:t>AEP Texas</w:t>
      </w:r>
      <w:r>
        <w:rPr>
          <w:rFonts w:cstheme="minorHAnsi"/>
        </w:rPr>
        <w:t xml:space="preserve"> customers and will be served under </w:t>
      </w:r>
      <w:r w:rsidR="009D6779">
        <w:rPr>
          <w:rFonts w:cstheme="minorHAnsi"/>
        </w:rPr>
        <w:t>AEP Texas</w:t>
      </w:r>
      <w:r>
        <w:rPr>
          <w:rFonts w:cstheme="minorHAnsi"/>
        </w:rPr>
        <w:t xml:space="preserve">’ tariff, and </w:t>
      </w:r>
      <w:r w:rsidR="009D6779">
        <w:rPr>
          <w:rFonts w:cstheme="minorHAnsi"/>
        </w:rPr>
        <w:t xml:space="preserve">those customers should not experience a significant change in their rates since AEP Texas rates are comparable to </w:t>
      </w:r>
      <w:r w:rsidR="00986519">
        <w:rPr>
          <w:rFonts w:cstheme="minorHAnsi"/>
        </w:rPr>
        <w:t>Oncor</w:t>
      </w:r>
      <w:r w:rsidR="009D6779">
        <w:rPr>
          <w:rFonts w:cstheme="minorHAnsi"/>
        </w:rPr>
        <w:t xml:space="preserve"> rates</w:t>
      </w:r>
      <w:r>
        <w:rPr>
          <w:rFonts w:cstheme="minorHAnsi"/>
        </w:rPr>
        <w:t>.</w:t>
      </w:r>
    </w:p>
    <w:p w:rsidR="00107139" w:rsidRDefault="00107139">
      <w:pPr>
        <w:spacing w:after="120"/>
        <w:ind w:left="540"/>
        <w:rPr>
          <w:rFonts w:cstheme="minorHAnsi"/>
        </w:rPr>
      </w:pPr>
    </w:p>
    <w:p w:rsidR="00107139" w:rsidRDefault="008B0762">
      <w:pPr>
        <w:spacing w:after="60"/>
        <w:ind w:left="547" w:hanging="547"/>
        <w:rPr>
          <w:b/>
        </w:rPr>
      </w:pPr>
      <w:r>
        <w:rPr>
          <w:b/>
        </w:rPr>
        <w:t>Q</w:t>
      </w:r>
      <w:r w:rsidR="00596A57">
        <w:rPr>
          <w:b/>
        </w:rPr>
        <w:t>2</w:t>
      </w:r>
      <w:r>
        <w:rPr>
          <w:b/>
        </w:rPr>
        <w:t>:</w:t>
      </w:r>
      <w:r>
        <w:rPr>
          <w:b/>
        </w:rPr>
        <w:tab/>
        <w:t>Does the Public Utility Commission (PUC) have to approve this deal?</w:t>
      </w:r>
    </w:p>
    <w:p w:rsidR="00107139" w:rsidRDefault="008B0762">
      <w:pPr>
        <w:tabs>
          <w:tab w:val="left" w:pos="540"/>
        </w:tabs>
        <w:spacing w:after="120" w:line="240" w:lineRule="auto"/>
        <w:ind w:left="540" w:hanging="540"/>
      </w:pPr>
      <w:r>
        <w:t>A:</w:t>
      </w:r>
      <w:r>
        <w:tab/>
        <w:t xml:space="preserve">Yes, Public Utility Commission of Texas (PUC) approval is required.  </w:t>
      </w:r>
      <w:r w:rsidR="009D6779">
        <w:t>AEP Texas</w:t>
      </w:r>
      <w:r>
        <w:t xml:space="preserve"> and </w:t>
      </w:r>
      <w:r w:rsidR="00986519">
        <w:t>Oncor</w:t>
      </w:r>
      <w:r>
        <w:t xml:space="preserve"> </w:t>
      </w:r>
      <w:r w:rsidR="00F472C4">
        <w:t>file</w:t>
      </w:r>
      <w:r w:rsidR="008576B1">
        <w:t>d</w:t>
      </w:r>
      <w:r w:rsidR="00F472C4">
        <w:t xml:space="preserve"> a joint</w:t>
      </w:r>
      <w:r>
        <w:t xml:space="preserve"> application</w:t>
      </w:r>
      <w:r w:rsidR="00F472C4">
        <w:t xml:space="preserve"> (Joint Application)</w:t>
      </w:r>
      <w:r>
        <w:t xml:space="preserve"> for Sale, Transfer or Merger (STM) with the PUC</w:t>
      </w:r>
      <w:r w:rsidR="008576B1">
        <w:t xml:space="preserve"> in Docket </w:t>
      </w:r>
      <w:r w:rsidR="009D6779">
        <w:t>No. 49402</w:t>
      </w:r>
      <w:r w:rsidR="00D4340A">
        <w:t xml:space="preserve">.  </w:t>
      </w:r>
      <w:r w:rsidR="00D4340A" w:rsidRPr="00D4340A">
        <w:t>If the required a</w:t>
      </w:r>
      <w:r w:rsidR="00D4340A">
        <w:t xml:space="preserve">pprovals are obtained, </w:t>
      </w:r>
      <w:r w:rsidR="0091616C">
        <w:t>AEP Texas</w:t>
      </w:r>
      <w:r w:rsidR="00D4340A">
        <w:t xml:space="preserve"> and </w:t>
      </w:r>
      <w:r w:rsidR="0091616C">
        <w:t>Oncor</w:t>
      </w:r>
      <w:r w:rsidR="00D4340A">
        <w:t xml:space="preserve"> currently</w:t>
      </w:r>
      <w:r w:rsidR="00D4340A" w:rsidRPr="00D4340A">
        <w:t xml:space="preserve"> expect that the transaction will close in the </w:t>
      </w:r>
      <w:r w:rsidR="009D6779">
        <w:t>third</w:t>
      </w:r>
      <w:r w:rsidR="00D4340A" w:rsidRPr="00D4340A">
        <w:t xml:space="preserve"> quarter of 201</w:t>
      </w:r>
      <w:r w:rsidR="009D6779">
        <w:t>9</w:t>
      </w:r>
      <w:r>
        <w:t xml:space="preserve">.  </w:t>
      </w:r>
    </w:p>
    <w:p w:rsidR="00107139" w:rsidRDefault="00107139">
      <w:pPr>
        <w:tabs>
          <w:tab w:val="left" w:pos="540"/>
        </w:tabs>
        <w:spacing w:after="120" w:line="240" w:lineRule="auto"/>
        <w:ind w:left="540" w:hanging="540"/>
      </w:pPr>
    </w:p>
    <w:p w:rsidR="00107139" w:rsidRDefault="008B0762">
      <w:pPr>
        <w:tabs>
          <w:tab w:val="left" w:pos="540"/>
        </w:tabs>
        <w:spacing w:after="60" w:line="240" w:lineRule="auto"/>
        <w:ind w:left="547" w:hanging="547"/>
        <w:rPr>
          <w:rFonts w:eastAsia="Times New Roman"/>
          <w:b/>
        </w:rPr>
      </w:pPr>
      <w:r>
        <w:rPr>
          <w:rFonts w:eastAsia="Times New Roman"/>
          <w:b/>
        </w:rPr>
        <w:t>Q</w:t>
      </w:r>
      <w:r w:rsidR="00596A57">
        <w:rPr>
          <w:rFonts w:eastAsia="Times New Roman"/>
          <w:b/>
        </w:rPr>
        <w:t>3</w:t>
      </w:r>
      <w:r>
        <w:rPr>
          <w:rFonts w:eastAsia="Times New Roman"/>
          <w:b/>
        </w:rPr>
        <w:t>:</w:t>
      </w:r>
      <w:r>
        <w:rPr>
          <w:rFonts w:eastAsia="Times New Roman"/>
          <w:b/>
        </w:rPr>
        <w:tab/>
        <w:t>What is the timeline to begin and complete this transfer?</w:t>
      </w:r>
    </w:p>
    <w:p w:rsidR="00107139" w:rsidRDefault="008B0762">
      <w:pPr>
        <w:tabs>
          <w:tab w:val="left" w:pos="540"/>
        </w:tabs>
        <w:spacing w:after="120" w:line="240" w:lineRule="auto"/>
        <w:ind w:left="540" w:hanging="540"/>
        <w:rPr>
          <w:rFonts w:eastAsia="Times New Roman"/>
        </w:rPr>
      </w:pPr>
      <w:r>
        <w:rPr>
          <w:rFonts w:eastAsia="Times New Roman"/>
        </w:rPr>
        <w:t>A:</w:t>
      </w:r>
      <w:r>
        <w:rPr>
          <w:rFonts w:eastAsia="Times New Roman"/>
        </w:rPr>
        <w:tab/>
        <w:t xml:space="preserve">The timeline is dependent on receipt of various approvals, including PUC approval of the STM and the subsequent closing of the transaction.  The transfer of customers should be completed within approximately </w:t>
      </w:r>
      <w:r w:rsidR="007252FA">
        <w:rPr>
          <w:rFonts w:eastAsia="Times New Roman"/>
        </w:rPr>
        <w:t>60</w:t>
      </w:r>
      <w:r>
        <w:rPr>
          <w:rFonts w:eastAsia="Times New Roman"/>
        </w:rPr>
        <w:t xml:space="preserve"> </w:t>
      </w:r>
      <w:r w:rsidR="008576B1">
        <w:rPr>
          <w:rFonts w:eastAsia="Times New Roman"/>
        </w:rPr>
        <w:t xml:space="preserve">to </w:t>
      </w:r>
      <w:r w:rsidR="007252FA">
        <w:rPr>
          <w:rFonts w:eastAsia="Times New Roman"/>
        </w:rPr>
        <w:t>10</w:t>
      </w:r>
      <w:r w:rsidR="008576B1">
        <w:rPr>
          <w:rFonts w:eastAsia="Times New Roman"/>
        </w:rPr>
        <w:t xml:space="preserve">0 </w:t>
      </w:r>
      <w:r>
        <w:rPr>
          <w:rFonts w:eastAsia="Times New Roman"/>
        </w:rPr>
        <w:t>days after closing</w:t>
      </w:r>
      <w:r w:rsidR="00986519">
        <w:rPr>
          <w:rFonts w:eastAsia="Times New Roman"/>
        </w:rPr>
        <w:t xml:space="preserve"> (or one billing cycle)</w:t>
      </w:r>
      <w:r>
        <w:rPr>
          <w:rFonts w:eastAsia="Times New Roman"/>
        </w:rPr>
        <w:t>.</w:t>
      </w:r>
    </w:p>
    <w:p w:rsidR="00107139" w:rsidRDefault="00107139">
      <w:pPr>
        <w:tabs>
          <w:tab w:val="left" w:pos="540"/>
        </w:tabs>
        <w:spacing w:after="120"/>
        <w:ind w:left="540" w:hanging="540"/>
        <w:rPr>
          <w:b/>
        </w:rPr>
      </w:pPr>
    </w:p>
    <w:p w:rsidR="00107139" w:rsidRDefault="008B0762">
      <w:pPr>
        <w:tabs>
          <w:tab w:val="left" w:pos="540"/>
        </w:tabs>
        <w:spacing w:after="60"/>
        <w:ind w:left="547" w:hanging="547"/>
        <w:rPr>
          <w:b/>
        </w:rPr>
      </w:pPr>
      <w:r>
        <w:rPr>
          <w:b/>
        </w:rPr>
        <w:t>Q</w:t>
      </w:r>
      <w:r w:rsidR="00D21710">
        <w:rPr>
          <w:b/>
        </w:rPr>
        <w:t>4</w:t>
      </w:r>
      <w:r>
        <w:rPr>
          <w:b/>
        </w:rPr>
        <w:t>:</w:t>
      </w:r>
      <w:r>
        <w:rPr>
          <w:b/>
        </w:rPr>
        <w:tab/>
        <w:t xml:space="preserve">Will the </w:t>
      </w:r>
      <w:r w:rsidR="00986519">
        <w:rPr>
          <w:b/>
        </w:rPr>
        <w:t>Oncor</w:t>
      </w:r>
      <w:r>
        <w:rPr>
          <w:b/>
        </w:rPr>
        <w:t xml:space="preserve"> service territories be maintained</w:t>
      </w:r>
      <w:r w:rsidR="00B8468A">
        <w:rPr>
          <w:b/>
        </w:rPr>
        <w:t xml:space="preserve"> in the affected areas</w:t>
      </w:r>
      <w:r>
        <w:rPr>
          <w:b/>
        </w:rPr>
        <w:t xml:space="preserve">?    </w:t>
      </w:r>
    </w:p>
    <w:p w:rsidR="00107139" w:rsidRDefault="008B0762">
      <w:pPr>
        <w:tabs>
          <w:tab w:val="left" w:pos="540"/>
        </w:tabs>
        <w:spacing w:after="120"/>
        <w:ind w:left="540" w:hanging="540"/>
      </w:pPr>
      <w:r>
        <w:t>A:</w:t>
      </w:r>
      <w:r>
        <w:tab/>
        <w:t xml:space="preserve">No.  </w:t>
      </w:r>
      <w:r w:rsidR="00B8468A">
        <w:t xml:space="preserve">Certificated rights to serve the geographic area relative to and served by the distribution assets in the STM will be transferred from </w:t>
      </w:r>
      <w:r w:rsidR="00986519">
        <w:t>Oncor</w:t>
      </w:r>
      <w:r w:rsidR="00B8468A">
        <w:t xml:space="preserve"> to AEP Texas</w:t>
      </w:r>
      <w:r>
        <w:t>.</w:t>
      </w:r>
    </w:p>
    <w:p w:rsidR="00107139" w:rsidRDefault="00107139">
      <w:pPr>
        <w:spacing w:after="120"/>
        <w:rPr>
          <w:b/>
        </w:rPr>
      </w:pPr>
    </w:p>
    <w:p w:rsidR="00107139" w:rsidRDefault="008B0762">
      <w:pPr>
        <w:spacing w:after="60"/>
        <w:ind w:left="547" w:hanging="547"/>
        <w:rPr>
          <w:b/>
        </w:rPr>
      </w:pPr>
      <w:r>
        <w:rPr>
          <w:b/>
        </w:rPr>
        <w:t>Q</w:t>
      </w:r>
      <w:r w:rsidR="00D21710">
        <w:rPr>
          <w:b/>
        </w:rPr>
        <w:t>5</w:t>
      </w:r>
      <w:r>
        <w:rPr>
          <w:b/>
        </w:rPr>
        <w:t>:</w:t>
      </w:r>
      <w:r>
        <w:rPr>
          <w:b/>
        </w:rPr>
        <w:tab/>
        <w:t xml:space="preserve">How will you keep the market </w:t>
      </w:r>
      <w:proofErr w:type="gramStart"/>
      <w:r w:rsidR="0052403D">
        <w:rPr>
          <w:b/>
        </w:rPr>
        <w:t>apprised</w:t>
      </w:r>
      <w:proofErr w:type="gramEnd"/>
      <w:r>
        <w:rPr>
          <w:b/>
        </w:rPr>
        <w:t xml:space="preserve"> of the progress of the STM?</w:t>
      </w:r>
    </w:p>
    <w:p w:rsidR="00107139" w:rsidRDefault="008B0762">
      <w:pPr>
        <w:tabs>
          <w:tab w:val="left" w:pos="540"/>
        </w:tabs>
        <w:spacing w:after="120"/>
        <w:ind w:left="540" w:hanging="540"/>
      </w:pPr>
      <w:r>
        <w:t>A</w:t>
      </w:r>
      <w:r w:rsidR="003B4980">
        <w:t>:</w:t>
      </w:r>
      <w:r w:rsidR="003B4980">
        <w:tab/>
      </w:r>
      <w:r w:rsidR="0091616C">
        <w:t xml:space="preserve">AEP Texas and </w:t>
      </w:r>
      <w:r w:rsidR="00986519">
        <w:t>Oncor</w:t>
      </w:r>
      <w:r w:rsidR="003B4980">
        <w:t xml:space="preserve"> </w:t>
      </w:r>
      <w:r>
        <w:t xml:space="preserve">will </w:t>
      </w:r>
      <w:r w:rsidR="003B4980">
        <w:t xml:space="preserve">participate in market workshops working with ERCOT, the PUC and other affected parties.  </w:t>
      </w:r>
      <w:r>
        <w:t>We believe that market workshops are the most efficient way to keep all parties updated and informed of plans as well as obtain input and feedback from the affected market participants. Market participants are encouraged to participate in these workshops.</w:t>
      </w:r>
    </w:p>
    <w:p w:rsidR="00107139" w:rsidRDefault="00107139">
      <w:pPr>
        <w:tabs>
          <w:tab w:val="left" w:pos="540"/>
        </w:tabs>
        <w:spacing w:after="120"/>
        <w:ind w:left="540" w:hanging="540"/>
      </w:pPr>
    </w:p>
    <w:p w:rsidR="00107139" w:rsidRDefault="008B0762">
      <w:pPr>
        <w:tabs>
          <w:tab w:val="left" w:pos="540"/>
        </w:tabs>
        <w:spacing w:after="120"/>
        <w:ind w:left="540" w:hanging="540"/>
      </w:pPr>
      <w:r>
        <w:tab/>
        <w:t xml:space="preserve">Retail Market Guide Section 7.11 defines roles and responsibilities during a transition event and also provides that ERCOT will designate a project transition lead to schedule and facilitate ongoing transition coordination meetings and conference calls during the transition event. </w:t>
      </w:r>
    </w:p>
    <w:p w:rsidR="00107139" w:rsidRDefault="00107139">
      <w:pPr>
        <w:tabs>
          <w:tab w:val="left" w:pos="540"/>
        </w:tabs>
        <w:spacing w:after="120"/>
        <w:ind w:left="540" w:hanging="540"/>
      </w:pPr>
    </w:p>
    <w:p w:rsidR="00107139" w:rsidRDefault="008B0762">
      <w:pPr>
        <w:tabs>
          <w:tab w:val="left" w:pos="540"/>
        </w:tabs>
        <w:spacing w:after="60" w:line="240" w:lineRule="auto"/>
        <w:ind w:left="547" w:hanging="547"/>
        <w:rPr>
          <w:rFonts w:eastAsia="Times New Roman"/>
          <w:b/>
        </w:rPr>
      </w:pPr>
      <w:r>
        <w:rPr>
          <w:rFonts w:eastAsia="Times New Roman"/>
          <w:b/>
        </w:rPr>
        <w:t>Q</w:t>
      </w:r>
      <w:r w:rsidR="00D21710">
        <w:rPr>
          <w:rFonts w:eastAsia="Times New Roman"/>
          <w:b/>
        </w:rPr>
        <w:t>6</w:t>
      </w:r>
      <w:r>
        <w:rPr>
          <w:rFonts w:eastAsia="Times New Roman"/>
          <w:b/>
        </w:rPr>
        <w:t>:</w:t>
      </w:r>
      <w:r>
        <w:rPr>
          <w:rFonts w:eastAsia="Times New Roman"/>
          <w:b/>
        </w:rPr>
        <w:tab/>
        <w:t>How is the transition expected to occur?</w:t>
      </w:r>
    </w:p>
    <w:p w:rsidR="00107139" w:rsidRDefault="008B0762">
      <w:pPr>
        <w:tabs>
          <w:tab w:val="left" w:pos="540"/>
        </w:tabs>
        <w:spacing w:after="120" w:line="240" w:lineRule="auto"/>
        <w:ind w:left="540" w:hanging="540"/>
        <w:rPr>
          <w:rFonts w:eastAsia="Times New Roman"/>
        </w:rPr>
      </w:pPr>
      <w:r>
        <w:rPr>
          <w:rFonts w:eastAsia="Times New Roman"/>
        </w:rPr>
        <w:t>A:</w:t>
      </w:r>
      <w:r>
        <w:rPr>
          <w:rFonts w:eastAsia="Times New Roman"/>
        </w:rPr>
        <w:tab/>
      </w:r>
      <w:r w:rsidR="0091616C">
        <w:rPr>
          <w:rFonts w:eastAsia="Times New Roman"/>
        </w:rPr>
        <w:t>AEP Texas</w:t>
      </w:r>
      <w:r>
        <w:rPr>
          <w:rFonts w:eastAsia="Times New Roman"/>
        </w:rPr>
        <w:t xml:space="preserve"> will create new ESI</w:t>
      </w:r>
      <w:r w:rsidR="0089565B">
        <w:rPr>
          <w:rFonts w:eastAsia="Times New Roman"/>
        </w:rPr>
        <w:t xml:space="preserve"> </w:t>
      </w:r>
      <w:r>
        <w:rPr>
          <w:rFonts w:eastAsia="Times New Roman"/>
        </w:rPr>
        <w:t xml:space="preserve">IDs under </w:t>
      </w:r>
      <w:r w:rsidR="0091616C">
        <w:rPr>
          <w:rFonts w:eastAsia="Times New Roman"/>
        </w:rPr>
        <w:t>AEP Texas</w:t>
      </w:r>
      <w:r>
        <w:rPr>
          <w:rFonts w:eastAsia="Times New Roman"/>
        </w:rPr>
        <w:t xml:space="preserve">’ DUNs that correspond to the existing </w:t>
      </w:r>
      <w:r w:rsidR="00986519">
        <w:rPr>
          <w:rFonts w:eastAsia="Times New Roman"/>
        </w:rPr>
        <w:t>Oncor</w:t>
      </w:r>
      <w:r>
        <w:rPr>
          <w:rFonts w:eastAsia="Times New Roman"/>
        </w:rPr>
        <w:t xml:space="preserve"> ESI</w:t>
      </w:r>
      <w:r w:rsidR="0089565B">
        <w:rPr>
          <w:rFonts w:eastAsia="Times New Roman"/>
        </w:rPr>
        <w:t xml:space="preserve"> </w:t>
      </w:r>
      <w:r>
        <w:rPr>
          <w:rFonts w:eastAsia="Times New Roman"/>
        </w:rPr>
        <w:t xml:space="preserve">IDs.  This will enable REPs to initiate </w:t>
      </w:r>
      <w:r w:rsidR="00A3210F" w:rsidRPr="00A3210F">
        <w:rPr>
          <w:rFonts w:eastAsia="Times New Roman"/>
        </w:rPr>
        <w:t>move-in transactions (MVIs)</w:t>
      </w:r>
      <w:r w:rsidR="00A3210F" w:rsidRPr="00A3210F">
        <w:rPr>
          <w:rFonts w:eastAsia="Times New Roman"/>
          <w:b/>
        </w:rPr>
        <w:t xml:space="preserve"> </w:t>
      </w:r>
      <w:r>
        <w:rPr>
          <w:rFonts w:eastAsia="Times New Roman"/>
        </w:rPr>
        <w:t>to energize these ESI</w:t>
      </w:r>
      <w:r w:rsidR="0089565B">
        <w:rPr>
          <w:rFonts w:eastAsia="Times New Roman"/>
        </w:rPr>
        <w:t xml:space="preserve"> </w:t>
      </w:r>
      <w:r>
        <w:rPr>
          <w:rFonts w:eastAsia="Times New Roman"/>
        </w:rPr>
        <w:t xml:space="preserve">IDs on the scheduled monthly meter read date following the closing of the </w:t>
      </w:r>
      <w:r w:rsidR="00344EF7">
        <w:rPr>
          <w:rFonts w:eastAsia="Times New Roman"/>
        </w:rPr>
        <w:t>transaction</w:t>
      </w:r>
      <w:r w:rsidR="008576B1">
        <w:rPr>
          <w:rFonts w:eastAsia="Times New Roman"/>
        </w:rPr>
        <w:t xml:space="preserve"> per direction provided in the market workshops</w:t>
      </w:r>
      <w:r>
        <w:rPr>
          <w:rFonts w:eastAsia="Times New Roman"/>
        </w:rPr>
        <w:t xml:space="preserve">.  REPs will be responsible for sending both MVIs </w:t>
      </w:r>
      <w:r w:rsidR="0089565B">
        <w:rPr>
          <w:rFonts w:eastAsia="Times New Roman"/>
        </w:rPr>
        <w:t>for</w:t>
      </w:r>
      <w:r>
        <w:rPr>
          <w:rFonts w:eastAsia="Times New Roman"/>
        </w:rPr>
        <w:t xml:space="preserve"> </w:t>
      </w:r>
      <w:r w:rsidR="0091616C">
        <w:rPr>
          <w:rFonts w:eastAsia="Times New Roman"/>
        </w:rPr>
        <w:t>AEP Texas</w:t>
      </w:r>
      <w:r>
        <w:rPr>
          <w:rFonts w:eastAsia="Times New Roman"/>
        </w:rPr>
        <w:t xml:space="preserve"> ESI</w:t>
      </w:r>
      <w:r w:rsidR="0089565B">
        <w:rPr>
          <w:rFonts w:eastAsia="Times New Roman"/>
        </w:rPr>
        <w:t xml:space="preserve"> </w:t>
      </w:r>
      <w:r>
        <w:rPr>
          <w:rFonts w:eastAsia="Times New Roman"/>
        </w:rPr>
        <w:t xml:space="preserve">IDs and </w:t>
      </w:r>
      <w:r w:rsidR="00A3210F" w:rsidRPr="00A3210F">
        <w:rPr>
          <w:rFonts w:eastAsia="Times New Roman"/>
        </w:rPr>
        <w:t>move-out transactions (MVOs)</w:t>
      </w:r>
      <w:r w:rsidR="00A3210F" w:rsidRPr="00A3210F">
        <w:rPr>
          <w:rFonts w:eastAsia="Times New Roman"/>
          <w:b/>
        </w:rPr>
        <w:t xml:space="preserve"> </w:t>
      </w:r>
      <w:r w:rsidR="0089565B">
        <w:rPr>
          <w:rFonts w:eastAsia="Times New Roman"/>
        </w:rPr>
        <w:t>for</w:t>
      </w:r>
      <w:r>
        <w:rPr>
          <w:rFonts w:eastAsia="Times New Roman"/>
        </w:rPr>
        <w:t xml:space="preserve"> </w:t>
      </w:r>
      <w:r w:rsidR="00986519">
        <w:rPr>
          <w:rFonts w:eastAsia="Times New Roman"/>
        </w:rPr>
        <w:t>Oncor</w:t>
      </w:r>
      <w:r>
        <w:rPr>
          <w:rFonts w:eastAsia="Times New Roman"/>
        </w:rPr>
        <w:t xml:space="preserve"> ESI</w:t>
      </w:r>
      <w:r w:rsidR="0089565B">
        <w:rPr>
          <w:rFonts w:eastAsia="Times New Roman"/>
        </w:rPr>
        <w:t xml:space="preserve"> </w:t>
      </w:r>
      <w:r>
        <w:rPr>
          <w:rFonts w:eastAsia="Times New Roman"/>
        </w:rPr>
        <w:t xml:space="preserve">IDs.  Once all Customer MVIs/MVOs are completed, </w:t>
      </w:r>
      <w:r w:rsidR="00986519">
        <w:rPr>
          <w:rFonts w:eastAsia="Times New Roman"/>
        </w:rPr>
        <w:t>Oncor</w:t>
      </w:r>
      <w:r>
        <w:rPr>
          <w:rFonts w:eastAsia="Times New Roman"/>
        </w:rPr>
        <w:t xml:space="preserve"> will retire all </w:t>
      </w:r>
      <w:r w:rsidR="00986519">
        <w:rPr>
          <w:rFonts w:eastAsia="Times New Roman"/>
        </w:rPr>
        <w:t>Oncor</w:t>
      </w:r>
      <w:r>
        <w:rPr>
          <w:rFonts w:eastAsia="Times New Roman"/>
        </w:rPr>
        <w:t xml:space="preserve"> ESI</w:t>
      </w:r>
      <w:r w:rsidR="0089565B">
        <w:rPr>
          <w:rFonts w:eastAsia="Times New Roman"/>
        </w:rPr>
        <w:t xml:space="preserve"> </w:t>
      </w:r>
      <w:r>
        <w:rPr>
          <w:rFonts w:eastAsia="Times New Roman"/>
        </w:rPr>
        <w:t>IDs in ERCOT systems.</w:t>
      </w:r>
    </w:p>
    <w:p w:rsidR="00107139" w:rsidRDefault="00107139">
      <w:pPr>
        <w:tabs>
          <w:tab w:val="left" w:pos="540"/>
        </w:tabs>
        <w:spacing w:after="120"/>
        <w:ind w:left="540" w:hanging="540"/>
        <w:rPr>
          <w:b/>
        </w:rPr>
      </w:pPr>
    </w:p>
    <w:p w:rsidR="00107139" w:rsidRDefault="008B0762">
      <w:pPr>
        <w:tabs>
          <w:tab w:val="left" w:pos="540"/>
        </w:tabs>
        <w:spacing w:after="60"/>
        <w:ind w:left="547" w:hanging="547"/>
        <w:rPr>
          <w:b/>
        </w:rPr>
      </w:pPr>
      <w:r>
        <w:rPr>
          <w:b/>
        </w:rPr>
        <w:t>Q</w:t>
      </w:r>
      <w:r w:rsidR="00D21710">
        <w:rPr>
          <w:b/>
        </w:rPr>
        <w:t>7</w:t>
      </w:r>
      <w:r>
        <w:rPr>
          <w:b/>
        </w:rPr>
        <w:t>:</w:t>
      </w:r>
      <w:r>
        <w:rPr>
          <w:b/>
        </w:rPr>
        <w:tab/>
        <w:t>What DUNS number will be used</w:t>
      </w:r>
      <w:r w:rsidR="000E2836">
        <w:rPr>
          <w:b/>
        </w:rPr>
        <w:t xml:space="preserve"> for the new </w:t>
      </w:r>
      <w:r w:rsidR="0091616C">
        <w:rPr>
          <w:b/>
        </w:rPr>
        <w:t>AEP Texas</w:t>
      </w:r>
      <w:r w:rsidR="000E2836">
        <w:rPr>
          <w:b/>
        </w:rPr>
        <w:t xml:space="preserve"> ESI</w:t>
      </w:r>
      <w:r w:rsidR="0089565B">
        <w:rPr>
          <w:b/>
        </w:rPr>
        <w:t xml:space="preserve"> </w:t>
      </w:r>
      <w:r w:rsidR="000E2836">
        <w:rPr>
          <w:b/>
        </w:rPr>
        <w:t>IDs</w:t>
      </w:r>
      <w:r>
        <w:rPr>
          <w:b/>
        </w:rPr>
        <w:t>?</w:t>
      </w:r>
    </w:p>
    <w:p w:rsidR="00107139" w:rsidRDefault="008B0762">
      <w:pPr>
        <w:tabs>
          <w:tab w:val="left" w:pos="540"/>
        </w:tabs>
        <w:spacing w:after="120"/>
        <w:ind w:left="540" w:hanging="540"/>
      </w:pPr>
      <w:r>
        <w:t>A:</w:t>
      </w:r>
      <w:r>
        <w:tab/>
      </w:r>
      <w:r w:rsidR="0091616C">
        <w:t>AEP Texas</w:t>
      </w:r>
      <w:r>
        <w:t xml:space="preserve"> will create new ESI</w:t>
      </w:r>
      <w:r w:rsidR="0089565B">
        <w:t xml:space="preserve"> </w:t>
      </w:r>
      <w:r>
        <w:t xml:space="preserve">IDs using the </w:t>
      </w:r>
      <w:r w:rsidR="00E85CA3" w:rsidRPr="00E85CA3">
        <w:t>007924772</w:t>
      </w:r>
      <w:r w:rsidR="000E2836">
        <w:t xml:space="preserve"> </w:t>
      </w:r>
      <w:r>
        <w:t xml:space="preserve">DUNS number.  </w:t>
      </w:r>
    </w:p>
    <w:p w:rsidR="00107139" w:rsidRDefault="00107139" w:rsidP="007A7604">
      <w:pPr>
        <w:tabs>
          <w:tab w:val="left" w:pos="540"/>
        </w:tabs>
        <w:spacing w:after="120"/>
        <w:ind w:left="547" w:hanging="547"/>
      </w:pPr>
    </w:p>
    <w:p w:rsidR="000E2836" w:rsidRDefault="000E2836" w:rsidP="000E2836">
      <w:pPr>
        <w:tabs>
          <w:tab w:val="left" w:pos="540"/>
        </w:tabs>
        <w:spacing w:after="60"/>
        <w:ind w:left="547" w:hanging="547"/>
        <w:rPr>
          <w:b/>
        </w:rPr>
      </w:pPr>
      <w:r>
        <w:rPr>
          <w:b/>
        </w:rPr>
        <w:t>Q</w:t>
      </w:r>
      <w:r w:rsidR="00D21710">
        <w:rPr>
          <w:b/>
        </w:rPr>
        <w:t>8</w:t>
      </w:r>
      <w:r>
        <w:rPr>
          <w:b/>
        </w:rPr>
        <w:t>:</w:t>
      </w:r>
      <w:r>
        <w:rPr>
          <w:b/>
        </w:rPr>
        <w:tab/>
        <w:t>What ES</w:t>
      </w:r>
      <w:r w:rsidR="0052403D">
        <w:rPr>
          <w:b/>
        </w:rPr>
        <w:t xml:space="preserve">I </w:t>
      </w:r>
      <w:r>
        <w:rPr>
          <w:b/>
        </w:rPr>
        <w:t xml:space="preserve">ID prefix will be used for the new </w:t>
      </w:r>
      <w:r w:rsidR="0091616C">
        <w:rPr>
          <w:b/>
        </w:rPr>
        <w:t>AEP Texas</w:t>
      </w:r>
      <w:r>
        <w:rPr>
          <w:b/>
        </w:rPr>
        <w:t xml:space="preserve"> ESI</w:t>
      </w:r>
      <w:r w:rsidR="0089565B">
        <w:rPr>
          <w:b/>
        </w:rPr>
        <w:t xml:space="preserve"> </w:t>
      </w:r>
      <w:r>
        <w:rPr>
          <w:b/>
        </w:rPr>
        <w:t>IDs?</w:t>
      </w:r>
    </w:p>
    <w:p w:rsidR="000E2836" w:rsidRDefault="000E2836" w:rsidP="007A7604">
      <w:pPr>
        <w:tabs>
          <w:tab w:val="left" w:pos="540"/>
        </w:tabs>
        <w:spacing w:after="120"/>
        <w:ind w:left="547" w:hanging="547"/>
      </w:pPr>
      <w:r>
        <w:t>A:</w:t>
      </w:r>
      <w:r>
        <w:tab/>
      </w:r>
      <w:r w:rsidR="0091616C">
        <w:t>AEP Texas</w:t>
      </w:r>
      <w:r>
        <w:t xml:space="preserve"> will utilize the </w:t>
      </w:r>
      <w:r w:rsidR="0091616C">
        <w:t>100327894</w:t>
      </w:r>
      <w:r>
        <w:t xml:space="preserve"> prefix for all ESI</w:t>
      </w:r>
      <w:r w:rsidR="0089565B">
        <w:t xml:space="preserve"> </w:t>
      </w:r>
      <w:r>
        <w:t xml:space="preserve">IDs transitioning from </w:t>
      </w:r>
      <w:r w:rsidR="0091616C">
        <w:t>Oncor</w:t>
      </w:r>
      <w:r>
        <w:t>.</w:t>
      </w:r>
    </w:p>
    <w:p w:rsidR="000E2836" w:rsidRDefault="000E2836" w:rsidP="007A7604">
      <w:pPr>
        <w:tabs>
          <w:tab w:val="left" w:pos="540"/>
        </w:tabs>
        <w:spacing w:after="120"/>
        <w:ind w:left="547" w:hanging="547"/>
      </w:pPr>
    </w:p>
    <w:p w:rsidR="00107139" w:rsidRDefault="008B0762" w:rsidP="000E2836">
      <w:pPr>
        <w:tabs>
          <w:tab w:val="left" w:pos="540"/>
        </w:tabs>
        <w:spacing w:after="60"/>
        <w:ind w:left="547" w:hanging="547"/>
        <w:rPr>
          <w:b/>
        </w:rPr>
      </w:pPr>
      <w:r>
        <w:rPr>
          <w:b/>
        </w:rPr>
        <w:t>Q</w:t>
      </w:r>
      <w:r w:rsidR="00D21710">
        <w:rPr>
          <w:b/>
        </w:rPr>
        <w:t>9</w:t>
      </w:r>
      <w:r>
        <w:rPr>
          <w:b/>
        </w:rPr>
        <w:t>:</w:t>
      </w:r>
      <w:r>
        <w:rPr>
          <w:b/>
        </w:rPr>
        <w:tab/>
        <w:t xml:space="preserve">Will the current REP of Record be required to submit </w:t>
      </w:r>
      <w:r w:rsidR="00A3210F">
        <w:rPr>
          <w:b/>
        </w:rPr>
        <w:t xml:space="preserve">MVIs </w:t>
      </w:r>
      <w:r>
        <w:rPr>
          <w:b/>
        </w:rPr>
        <w:t>on the new ESI</w:t>
      </w:r>
      <w:r w:rsidR="000A1297">
        <w:rPr>
          <w:b/>
        </w:rPr>
        <w:t xml:space="preserve"> </w:t>
      </w:r>
      <w:r>
        <w:rPr>
          <w:b/>
        </w:rPr>
        <w:t xml:space="preserve">IDs and </w:t>
      </w:r>
      <w:r w:rsidR="00A3210F">
        <w:rPr>
          <w:b/>
        </w:rPr>
        <w:t xml:space="preserve">MVOs </w:t>
      </w:r>
      <w:r>
        <w:rPr>
          <w:b/>
        </w:rPr>
        <w:t>on the old ESI</w:t>
      </w:r>
      <w:r w:rsidR="000A1297">
        <w:rPr>
          <w:b/>
        </w:rPr>
        <w:t xml:space="preserve"> </w:t>
      </w:r>
      <w:r w:rsidR="00B9698E">
        <w:rPr>
          <w:b/>
        </w:rPr>
        <w:t>ID</w:t>
      </w:r>
      <w:r>
        <w:rPr>
          <w:b/>
        </w:rPr>
        <w:t xml:space="preserve">s? </w:t>
      </w:r>
    </w:p>
    <w:p w:rsidR="00107139" w:rsidRDefault="008B0762">
      <w:pPr>
        <w:tabs>
          <w:tab w:val="left" w:pos="540"/>
        </w:tabs>
        <w:spacing w:after="120"/>
        <w:ind w:left="540" w:hanging="540"/>
      </w:pPr>
      <w:r>
        <w:t>A:</w:t>
      </w:r>
      <w:r>
        <w:tab/>
        <w:t xml:space="preserve">Yes, the current REP of Record will be required to submit MVIs for the </w:t>
      </w:r>
      <w:r w:rsidR="0091616C">
        <w:t>AEP Texas</w:t>
      </w:r>
      <w:r>
        <w:t xml:space="preserve"> ESI</w:t>
      </w:r>
      <w:r w:rsidR="0089565B">
        <w:t xml:space="preserve"> </w:t>
      </w:r>
      <w:r>
        <w:t xml:space="preserve">IDs to initiate service and MVOs </w:t>
      </w:r>
      <w:r w:rsidR="0089565B">
        <w:t>for</w:t>
      </w:r>
      <w:r>
        <w:t xml:space="preserve"> the </w:t>
      </w:r>
      <w:r w:rsidR="0091616C">
        <w:t>Oncor</w:t>
      </w:r>
      <w:r>
        <w:t xml:space="preserve"> ESI</w:t>
      </w:r>
      <w:r w:rsidR="0089565B">
        <w:t xml:space="preserve"> </w:t>
      </w:r>
      <w:r>
        <w:t>IDs to end settlement and allow ESI</w:t>
      </w:r>
      <w:r w:rsidR="0089565B">
        <w:t xml:space="preserve"> </w:t>
      </w:r>
      <w:r>
        <w:t>IDs to be retired. Timing for on-cycle MVIs and on-cycle MVOs will be coordinated through the market processes</w:t>
      </w:r>
      <w:r w:rsidR="003B4980">
        <w:t xml:space="preserve"> and</w:t>
      </w:r>
      <w:r>
        <w:t xml:space="preserve"> will not require action from the customer. </w:t>
      </w:r>
    </w:p>
    <w:p w:rsidR="00107139" w:rsidRDefault="00107139">
      <w:pPr>
        <w:tabs>
          <w:tab w:val="left" w:pos="540"/>
        </w:tabs>
        <w:spacing w:after="120"/>
        <w:ind w:left="540" w:hanging="540"/>
      </w:pPr>
    </w:p>
    <w:p w:rsidR="00107139" w:rsidRDefault="008B0762">
      <w:pPr>
        <w:tabs>
          <w:tab w:val="left" w:pos="540"/>
        </w:tabs>
        <w:spacing w:after="60"/>
        <w:ind w:left="547" w:hanging="547"/>
        <w:rPr>
          <w:b/>
        </w:rPr>
      </w:pPr>
      <w:r>
        <w:rPr>
          <w:b/>
        </w:rPr>
        <w:t>Q</w:t>
      </w:r>
      <w:r w:rsidR="00D21710">
        <w:rPr>
          <w:b/>
        </w:rPr>
        <w:t>10</w:t>
      </w:r>
      <w:r>
        <w:rPr>
          <w:b/>
        </w:rPr>
        <w:t>:</w:t>
      </w:r>
      <w:r>
        <w:rPr>
          <w:b/>
        </w:rPr>
        <w:tab/>
        <w:t xml:space="preserve">Will </w:t>
      </w:r>
      <w:r w:rsidR="0091616C">
        <w:rPr>
          <w:b/>
        </w:rPr>
        <w:t>AEP Texas</w:t>
      </w:r>
      <w:r>
        <w:rPr>
          <w:b/>
        </w:rPr>
        <w:t xml:space="preserve"> charge move-in fees during the transition?</w:t>
      </w:r>
    </w:p>
    <w:p w:rsidR="00107139" w:rsidRDefault="008B0762">
      <w:pPr>
        <w:tabs>
          <w:tab w:val="left" w:pos="540"/>
        </w:tabs>
        <w:spacing w:after="120"/>
        <w:ind w:left="540" w:hanging="540"/>
      </w:pPr>
      <w:r>
        <w:t>A:</w:t>
      </w:r>
      <w:r>
        <w:tab/>
      </w:r>
      <w:r w:rsidR="0091616C">
        <w:t>AEP Texas</w:t>
      </w:r>
      <w:r>
        <w:t xml:space="preserve"> will waive move-in fees for MVIs required to complete the transition.</w:t>
      </w:r>
    </w:p>
    <w:p w:rsidR="00107139" w:rsidRDefault="00107139">
      <w:pPr>
        <w:tabs>
          <w:tab w:val="left" w:pos="540"/>
        </w:tabs>
        <w:spacing w:after="120"/>
        <w:ind w:left="540" w:hanging="540"/>
        <w:rPr>
          <w:b/>
        </w:rPr>
      </w:pPr>
    </w:p>
    <w:p w:rsidR="00107139" w:rsidRDefault="008B0762">
      <w:pPr>
        <w:tabs>
          <w:tab w:val="left" w:pos="540"/>
        </w:tabs>
        <w:spacing w:after="60"/>
        <w:ind w:left="547" w:hanging="547"/>
        <w:rPr>
          <w:b/>
        </w:rPr>
      </w:pPr>
      <w:r>
        <w:rPr>
          <w:b/>
        </w:rPr>
        <w:t>Q</w:t>
      </w:r>
      <w:r w:rsidR="00D21710">
        <w:rPr>
          <w:b/>
        </w:rPr>
        <w:t>11</w:t>
      </w:r>
      <w:r>
        <w:rPr>
          <w:b/>
        </w:rPr>
        <w:t>:</w:t>
      </w:r>
      <w:r>
        <w:rPr>
          <w:b/>
        </w:rPr>
        <w:tab/>
        <w:t xml:space="preserve">How will TX SET transactions pending at the time of transition </w:t>
      </w:r>
      <w:proofErr w:type="gramStart"/>
      <w:r>
        <w:rPr>
          <w:b/>
        </w:rPr>
        <w:t>be</w:t>
      </w:r>
      <w:proofErr w:type="gramEnd"/>
      <w:r>
        <w:rPr>
          <w:b/>
        </w:rPr>
        <w:t xml:space="preserve"> handled?  </w:t>
      </w:r>
    </w:p>
    <w:p w:rsidR="00107139" w:rsidRDefault="008B0762">
      <w:pPr>
        <w:tabs>
          <w:tab w:val="left" w:pos="540"/>
        </w:tabs>
        <w:spacing w:after="120"/>
        <w:ind w:left="540" w:hanging="540"/>
      </w:pPr>
      <w:r>
        <w:t>A:</w:t>
      </w:r>
      <w:r>
        <w:tab/>
      </w:r>
      <w:r w:rsidR="0091616C">
        <w:t>AEP Texas</w:t>
      </w:r>
      <w:r>
        <w:t xml:space="preserve"> and </w:t>
      </w:r>
      <w:r w:rsidR="0091616C">
        <w:t>Oncor</w:t>
      </w:r>
      <w:r>
        <w:t xml:space="preserve"> will work with ERCOT and REPs to track pending TX SET transactions and communicate with impacted parties.  Pending </w:t>
      </w:r>
      <w:r w:rsidR="0091616C">
        <w:t>Oncor</w:t>
      </w:r>
      <w:r>
        <w:t xml:space="preserve"> transactions that are scheduled to be completed after closing will be cancelled and will need to be resubmitted by the REP on the </w:t>
      </w:r>
      <w:r w:rsidR="0091616C">
        <w:t>AEP Texas</w:t>
      </w:r>
      <w:r>
        <w:t xml:space="preserve"> ESI</w:t>
      </w:r>
      <w:r w:rsidR="0089565B">
        <w:t xml:space="preserve"> </w:t>
      </w:r>
      <w:r>
        <w:t>ID.</w:t>
      </w:r>
    </w:p>
    <w:p w:rsidR="00107139" w:rsidRDefault="00107139">
      <w:pPr>
        <w:tabs>
          <w:tab w:val="left" w:pos="540"/>
        </w:tabs>
        <w:spacing w:after="120" w:line="240" w:lineRule="auto"/>
        <w:ind w:left="540" w:hanging="540"/>
      </w:pPr>
    </w:p>
    <w:p w:rsidR="00AD0ECB" w:rsidRDefault="00AD0ECB" w:rsidP="00AD0ECB">
      <w:pPr>
        <w:tabs>
          <w:tab w:val="left" w:pos="540"/>
        </w:tabs>
        <w:spacing w:after="60"/>
        <w:ind w:left="547" w:hanging="547"/>
        <w:rPr>
          <w:b/>
        </w:rPr>
      </w:pPr>
      <w:r>
        <w:rPr>
          <w:b/>
        </w:rPr>
        <w:t>Q1</w:t>
      </w:r>
      <w:r w:rsidR="0052403D">
        <w:rPr>
          <w:b/>
        </w:rPr>
        <w:t>2</w:t>
      </w:r>
      <w:r>
        <w:rPr>
          <w:b/>
        </w:rPr>
        <w:t>:</w:t>
      </w:r>
      <w:r>
        <w:rPr>
          <w:b/>
        </w:rPr>
        <w:tab/>
        <w:t xml:space="preserve">When will </w:t>
      </w:r>
      <w:r w:rsidR="0091616C">
        <w:rPr>
          <w:b/>
        </w:rPr>
        <w:t>AEP Texas</w:t>
      </w:r>
      <w:r>
        <w:rPr>
          <w:b/>
        </w:rPr>
        <w:t>’s rates be applied to customers in</w:t>
      </w:r>
      <w:r w:rsidR="0052403D">
        <w:rPr>
          <w:b/>
        </w:rPr>
        <w:t>volved in</w:t>
      </w:r>
      <w:r>
        <w:rPr>
          <w:b/>
        </w:rPr>
        <w:t xml:space="preserve"> </w:t>
      </w:r>
      <w:r w:rsidR="0052403D">
        <w:rPr>
          <w:b/>
        </w:rPr>
        <w:t>the transition</w:t>
      </w:r>
      <w:r>
        <w:rPr>
          <w:b/>
        </w:rPr>
        <w:t xml:space="preserve">? </w:t>
      </w:r>
    </w:p>
    <w:p w:rsidR="00107139" w:rsidRDefault="0091616C" w:rsidP="00D80DBE">
      <w:pPr>
        <w:pStyle w:val="ListParagraph"/>
        <w:numPr>
          <w:ilvl w:val="0"/>
          <w:numId w:val="5"/>
        </w:numPr>
        <w:tabs>
          <w:tab w:val="left" w:pos="540"/>
        </w:tabs>
        <w:spacing w:after="120"/>
        <w:ind w:left="540" w:hanging="540"/>
        <w:contextualSpacing w:val="0"/>
      </w:pPr>
      <w:r>
        <w:t>AEP Texas</w:t>
      </w:r>
      <w:r w:rsidR="008B0762">
        <w:t xml:space="preserve"> rates will be applied on the first billing cycle after the completion of the MVI</w:t>
      </w:r>
      <w:r w:rsidR="00AD0ECB">
        <w:t>s</w:t>
      </w:r>
      <w:r w:rsidR="008B0762">
        <w:t xml:space="preserve"> to </w:t>
      </w:r>
      <w:r>
        <w:t>AEP Texas</w:t>
      </w:r>
      <w:r w:rsidR="008B0762">
        <w:t>’s ESI</w:t>
      </w:r>
      <w:r w:rsidR="0089565B">
        <w:t xml:space="preserve"> </w:t>
      </w:r>
      <w:r w:rsidR="008B0762">
        <w:t>ID</w:t>
      </w:r>
      <w:r w:rsidR="00AD0ECB">
        <w:t>s</w:t>
      </w:r>
      <w:r w:rsidR="008B0762">
        <w:t>.</w:t>
      </w:r>
    </w:p>
    <w:p w:rsidR="00107139" w:rsidRDefault="00107139">
      <w:pPr>
        <w:pStyle w:val="ListParagraph"/>
        <w:tabs>
          <w:tab w:val="left" w:pos="540"/>
        </w:tabs>
        <w:spacing w:after="120"/>
        <w:ind w:left="547"/>
        <w:contextualSpacing w:val="0"/>
      </w:pPr>
    </w:p>
    <w:p w:rsidR="00107139" w:rsidRDefault="008B0762">
      <w:pPr>
        <w:tabs>
          <w:tab w:val="left" w:pos="540"/>
        </w:tabs>
        <w:spacing w:after="60"/>
        <w:ind w:left="547" w:hanging="547"/>
        <w:rPr>
          <w:b/>
        </w:rPr>
      </w:pPr>
      <w:r>
        <w:rPr>
          <w:b/>
        </w:rPr>
        <w:t>Q</w:t>
      </w:r>
      <w:r w:rsidR="00C34175">
        <w:rPr>
          <w:b/>
        </w:rPr>
        <w:t>1</w:t>
      </w:r>
      <w:r w:rsidR="0052403D">
        <w:rPr>
          <w:b/>
        </w:rPr>
        <w:t>3</w:t>
      </w:r>
      <w:r>
        <w:rPr>
          <w:b/>
        </w:rPr>
        <w:t>:</w:t>
      </w:r>
      <w:r>
        <w:rPr>
          <w:b/>
        </w:rPr>
        <w:tab/>
        <w:t xml:space="preserve">How will </w:t>
      </w:r>
      <w:r w:rsidR="0091616C">
        <w:rPr>
          <w:b/>
        </w:rPr>
        <w:t>AEP Texas</w:t>
      </w:r>
      <w:r>
        <w:rPr>
          <w:b/>
        </w:rPr>
        <w:t xml:space="preserve"> assign rates for non-residential customers?  </w:t>
      </w:r>
    </w:p>
    <w:p w:rsidR="00107139" w:rsidRDefault="008B0762">
      <w:pPr>
        <w:tabs>
          <w:tab w:val="left" w:pos="540"/>
        </w:tabs>
        <w:spacing w:after="120"/>
        <w:ind w:left="540" w:hanging="540"/>
      </w:pPr>
      <w:r>
        <w:t xml:space="preserve">A: </w:t>
      </w:r>
      <w:r>
        <w:tab/>
      </w:r>
      <w:r w:rsidR="0091616C">
        <w:t>AEP Texas</w:t>
      </w:r>
      <w:r>
        <w:t xml:space="preserve"> will map </w:t>
      </w:r>
      <w:proofErr w:type="spellStart"/>
      <w:r w:rsidR="0091616C">
        <w:t>Oncor</w:t>
      </w:r>
      <w:r>
        <w:t>’s</w:t>
      </w:r>
      <w:proofErr w:type="spellEnd"/>
      <w:r>
        <w:t xml:space="preserve"> existing rate codes to corresponding </w:t>
      </w:r>
      <w:r w:rsidR="0091616C">
        <w:t>AEP Texas</w:t>
      </w:r>
      <w:r>
        <w:t xml:space="preserve"> rate code</w:t>
      </w:r>
      <w:r w:rsidR="0089565B">
        <w:t>s</w:t>
      </w:r>
      <w:r>
        <w:t xml:space="preserve">.  </w:t>
      </w:r>
    </w:p>
    <w:p w:rsidR="00107139" w:rsidRDefault="00107139">
      <w:pPr>
        <w:pStyle w:val="ListParagraph"/>
        <w:tabs>
          <w:tab w:val="left" w:pos="540"/>
        </w:tabs>
        <w:spacing w:after="120"/>
        <w:ind w:left="547"/>
        <w:contextualSpacing w:val="0"/>
      </w:pPr>
    </w:p>
    <w:p w:rsidR="00107139" w:rsidRDefault="008B0762">
      <w:pPr>
        <w:tabs>
          <w:tab w:val="left" w:pos="540"/>
        </w:tabs>
        <w:spacing w:after="60"/>
        <w:ind w:left="547" w:hanging="547"/>
        <w:rPr>
          <w:b/>
        </w:rPr>
      </w:pPr>
      <w:r>
        <w:rPr>
          <w:b/>
        </w:rPr>
        <w:t>Q</w:t>
      </w:r>
      <w:r w:rsidR="00C34175">
        <w:rPr>
          <w:b/>
        </w:rPr>
        <w:t>1</w:t>
      </w:r>
      <w:r w:rsidR="0052403D">
        <w:rPr>
          <w:b/>
        </w:rPr>
        <w:t>4</w:t>
      </w:r>
      <w:r>
        <w:rPr>
          <w:b/>
        </w:rPr>
        <w:t>:</w:t>
      </w:r>
      <w:r>
        <w:rPr>
          <w:b/>
        </w:rPr>
        <w:tab/>
        <w:t xml:space="preserve">How will customers on load factor rates </w:t>
      </w:r>
      <w:proofErr w:type="gramStart"/>
      <w:r>
        <w:rPr>
          <w:b/>
        </w:rPr>
        <w:t>be</w:t>
      </w:r>
      <w:proofErr w:type="gramEnd"/>
      <w:r>
        <w:rPr>
          <w:b/>
        </w:rPr>
        <w:t xml:space="preserve"> transitioned?</w:t>
      </w:r>
    </w:p>
    <w:p w:rsidR="00107139" w:rsidRDefault="008B0762">
      <w:pPr>
        <w:tabs>
          <w:tab w:val="left" w:pos="540"/>
        </w:tabs>
        <w:spacing w:after="120"/>
        <w:ind w:left="540" w:hanging="540"/>
      </w:pPr>
      <w:r>
        <w:rPr>
          <w:b/>
        </w:rPr>
        <w:t>A:</w:t>
      </w:r>
      <w:r>
        <w:tab/>
        <w:t xml:space="preserve">For those customers whose rates are based on load factor, </w:t>
      </w:r>
      <w:r w:rsidR="0091616C">
        <w:t>AEP Texas</w:t>
      </w:r>
      <w:r>
        <w:t xml:space="preserve"> will utilize its load factor levels. </w:t>
      </w:r>
      <w:r w:rsidR="0091616C">
        <w:t>Oncor</w:t>
      </w:r>
      <w:r>
        <w:t xml:space="preserve"> will provide the current load factor calculation for each premise and </w:t>
      </w:r>
      <w:r w:rsidR="0091616C">
        <w:t>AEP Texas</w:t>
      </w:r>
      <w:r>
        <w:t xml:space="preserve"> will use those values to assign premises to the </w:t>
      </w:r>
      <w:r w:rsidR="006643D0">
        <w:t>corresponding</w:t>
      </w:r>
      <w:r>
        <w:t xml:space="preserve"> </w:t>
      </w:r>
      <w:r w:rsidR="0091616C">
        <w:t>AEP Texas</w:t>
      </w:r>
      <w:r>
        <w:t xml:space="preserve"> rate for such load factors.   </w:t>
      </w:r>
    </w:p>
    <w:p w:rsidR="00107139" w:rsidRDefault="00107139">
      <w:pPr>
        <w:tabs>
          <w:tab w:val="left" w:pos="540"/>
        </w:tabs>
        <w:spacing w:after="120"/>
        <w:ind w:left="540" w:hanging="540"/>
      </w:pPr>
    </w:p>
    <w:p w:rsidR="00107139" w:rsidRDefault="008B0762">
      <w:pPr>
        <w:tabs>
          <w:tab w:val="left" w:pos="540"/>
        </w:tabs>
        <w:spacing w:after="60"/>
        <w:ind w:left="547" w:hanging="547"/>
        <w:rPr>
          <w:b/>
        </w:rPr>
      </w:pPr>
      <w:r>
        <w:rPr>
          <w:b/>
        </w:rPr>
        <w:t>Q</w:t>
      </w:r>
      <w:r w:rsidR="0052403D">
        <w:rPr>
          <w:b/>
        </w:rPr>
        <w:t>15</w:t>
      </w:r>
      <w:r>
        <w:rPr>
          <w:b/>
        </w:rPr>
        <w:t>:</w:t>
      </w:r>
      <w:r>
        <w:rPr>
          <w:b/>
        </w:rPr>
        <w:tab/>
        <w:t xml:space="preserve">Will demand ratchets be reset? </w:t>
      </w:r>
    </w:p>
    <w:p w:rsidR="00107139" w:rsidRDefault="008B0762">
      <w:pPr>
        <w:tabs>
          <w:tab w:val="left" w:pos="540"/>
        </w:tabs>
        <w:spacing w:after="120"/>
        <w:ind w:left="540" w:hanging="540"/>
      </w:pPr>
      <w:r>
        <w:t xml:space="preserve">A: </w:t>
      </w:r>
      <w:r>
        <w:tab/>
        <w:t xml:space="preserve">Yes, since these are deemed new </w:t>
      </w:r>
      <w:r w:rsidR="0091616C">
        <w:t>AEP Texas</w:t>
      </w:r>
      <w:r>
        <w:t xml:space="preserve"> customers and MVIs are the vehicle to effectuate the change, </w:t>
      </w:r>
      <w:r w:rsidR="0091616C">
        <w:t>AEP Texas</w:t>
      </w:r>
      <w:r>
        <w:t xml:space="preserve"> will treat each customer as though they are new to the premise which results in the reset of demand histories on which the ratchet is calculated. </w:t>
      </w:r>
    </w:p>
    <w:p w:rsidR="00107139" w:rsidRDefault="00107139">
      <w:pPr>
        <w:tabs>
          <w:tab w:val="left" w:pos="540"/>
        </w:tabs>
        <w:spacing w:after="120"/>
      </w:pPr>
    </w:p>
    <w:p w:rsidR="00107139" w:rsidRDefault="008B0762">
      <w:pPr>
        <w:tabs>
          <w:tab w:val="left" w:pos="540"/>
        </w:tabs>
        <w:spacing w:after="60"/>
        <w:ind w:left="547" w:hanging="547"/>
        <w:rPr>
          <w:b/>
        </w:rPr>
      </w:pPr>
      <w:r>
        <w:rPr>
          <w:b/>
        </w:rPr>
        <w:t>Q</w:t>
      </w:r>
      <w:r w:rsidR="0052403D">
        <w:rPr>
          <w:b/>
        </w:rPr>
        <w:t>16</w:t>
      </w:r>
      <w:r>
        <w:rPr>
          <w:b/>
        </w:rPr>
        <w:t>:</w:t>
      </w:r>
      <w:r>
        <w:rPr>
          <w:b/>
        </w:rPr>
        <w:tab/>
        <w:t xml:space="preserve">Will customers be transitioned between &gt;10 kW and &lt;=10 kW rates during the transition to </w:t>
      </w:r>
      <w:r w:rsidR="0091616C">
        <w:rPr>
          <w:b/>
        </w:rPr>
        <w:t>AEP Texas</w:t>
      </w:r>
      <w:r>
        <w:rPr>
          <w:b/>
        </w:rPr>
        <w:t xml:space="preserve">? </w:t>
      </w:r>
    </w:p>
    <w:p w:rsidR="00107139" w:rsidRDefault="008B0762">
      <w:pPr>
        <w:tabs>
          <w:tab w:val="left" w:pos="540"/>
        </w:tabs>
        <w:spacing w:after="120"/>
        <w:ind w:left="540" w:hanging="540"/>
      </w:pPr>
      <w:r>
        <w:t xml:space="preserve">A: </w:t>
      </w:r>
      <w:r>
        <w:tab/>
      </w:r>
      <w:r w:rsidR="0091616C">
        <w:t>AEP Texas</w:t>
      </w:r>
      <w:r>
        <w:t xml:space="preserve"> will perform a review of the most recent 12-months of history of all customers who are currently on the &gt;10 kW rate to determine if they qualify for </w:t>
      </w:r>
      <w:r w:rsidR="0091616C">
        <w:t>AEP Texas</w:t>
      </w:r>
      <w:r>
        <w:t xml:space="preserve">’s &lt;=10 kW rate.  </w:t>
      </w:r>
    </w:p>
    <w:p w:rsidR="00107139" w:rsidRDefault="00107139">
      <w:pPr>
        <w:tabs>
          <w:tab w:val="left" w:pos="540"/>
        </w:tabs>
        <w:spacing w:after="120"/>
      </w:pPr>
    </w:p>
    <w:p w:rsidR="00107139" w:rsidRDefault="008B0762">
      <w:pPr>
        <w:tabs>
          <w:tab w:val="left" w:pos="540"/>
        </w:tabs>
        <w:spacing w:after="60"/>
        <w:rPr>
          <w:b/>
        </w:rPr>
      </w:pPr>
      <w:r>
        <w:rPr>
          <w:b/>
        </w:rPr>
        <w:t>Q</w:t>
      </w:r>
      <w:r w:rsidR="0052403D">
        <w:rPr>
          <w:b/>
        </w:rPr>
        <w:t>17</w:t>
      </w:r>
      <w:r>
        <w:rPr>
          <w:b/>
        </w:rPr>
        <w:t>:</w:t>
      </w:r>
      <w:r>
        <w:rPr>
          <w:b/>
        </w:rPr>
        <w:tab/>
        <w:t xml:space="preserve">What are the differences between power factor billing?  </w:t>
      </w:r>
    </w:p>
    <w:p w:rsidR="00107139" w:rsidRDefault="008B0762">
      <w:pPr>
        <w:tabs>
          <w:tab w:val="left" w:pos="540"/>
        </w:tabs>
        <w:spacing w:after="120"/>
        <w:ind w:left="540" w:hanging="540"/>
      </w:pPr>
      <w:r>
        <w:t xml:space="preserve">A: </w:t>
      </w:r>
      <w:r>
        <w:tab/>
      </w:r>
      <w:r w:rsidR="0091616C">
        <w:t>Oncor</w:t>
      </w:r>
      <w:r>
        <w:t xml:space="preserve"> adjust bills based on power factor</w:t>
      </w:r>
      <w:r w:rsidR="00062E43">
        <w:t xml:space="preserve"> for premises &gt;=290kW</w:t>
      </w:r>
      <w:r>
        <w:t xml:space="preserve">.  However, </w:t>
      </w:r>
      <w:r w:rsidR="0091616C">
        <w:t>AEP Texas</w:t>
      </w:r>
      <w:r>
        <w:t xml:space="preserve"> bills based on power factor for premises &gt;=</w:t>
      </w:r>
      <w:r w:rsidR="00062E43">
        <w:t>70</w:t>
      </w:r>
      <w:r>
        <w:t xml:space="preserve">0 kW.  As such, </w:t>
      </w:r>
      <w:r w:rsidR="0091616C">
        <w:t>AEP Texas</w:t>
      </w:r>
      <w:r>
        <w:t xml:space="preserve"> will turn on power factor billing for customers &gt;=</w:t>
      </w:r>
      <w:r w:rsidR="003A7D9D">
        <w:t>700</w:t>
      </w:r>
      <w:r>
        <w:t xml:space="preserve"> kW.</w:t>
      </w:r>
    </w:p>
    <w:p w:rsidR="00107139" w:rsidRDefault="00107139">
      <w:pPr>
        <w:tabs>
          <w:tab w:val="left" w:pos="540"/>
        </w:tabs>
        <w:spacing w:after="120"/>
        <w:rPr>
          <w:highlight w:val="yellow"/>
        </w:rPr>
      </w:pPr>
    </w:p>
    <w:p w:rsidR="00107139" w:rsidRDefault="008B0762">
      <w:pPr>
        <w:tabs>
          <w:tab w:val="left" w:pos="540"/>
        </w:tabs>
        <w:spacing w:after="60"/>
        <w:ind w:left="547" w:hanging="547"/>
        <w:rPr>
          <w:b/>
        </w:rPr>
      </w:pPr>
      <w:r>
        <w:rPr>
          <w:b/>
        </w:rPr>
        <w:t>Q</w:t>
      </w:r>
      <w:r w:rsidR="00C34175">
        <w:rPr>
          <w:b/>
        </w:rPr>
        <w:t>1</w:t>
      </w:r>
      <w:r w:rsidR="0052403D">
        <w:rPr>
          <w:b/>
        </w:rPr>
        <w:t>8</w:t>
      </w:r>
      <w:r>
        <w:rPr>
          <w:b/>
        </w:rPr>
        <w:t>:</w:t>
      </w:r>
      <w:r>
        <w:rPr>
          <w:b/>
        </w:rPr>
        <w:tab/>
        <w:t xml:space="preserve">What is the plan for customer notice/outreach/education?  </w:t>
      </w:r>
    </w:p>
    <w:p w:rsidR="00107139" w:rsidRDefault="008B0762">
      <w:pPr>
        <w:tabs>
          <w:tab w:val="left" w:pos="540"/>
        </w:tabs>
        <w:spacing w:after="120"/>
        <w:ind w:left="540" w:hanging="540"/>
      </w:pPr>
      <w:r>
        <w:t>A:</w:t>
      </w:r>
      <w:r>
        <w:tab/>
        <w:t xml:space="preserve">In addition to notices that will be provided as part of the Joint Application filed at the PUC, </w:t>
      </w:r>
      <w:r w:rsidR="0091616C">
        <w:t>AEP Texas</w:t>
      </w:r>
      <w:r>
        <w:t xml:space="preserve"> and </w:t>
      </w:r>
      <w:r w:rsidR="0091616C">
        <w:t>Oncor</w:t>
      </w:r>
      <w:r>
        <w:t xml:space="preserve"> will publish information on their respective websites.  Additional customer communications </w:t>
      </w:r>
      <w:r w:rsidR="003A7D9D">
        <w:t>such as Town Hall meetings will also be conducted</w:t>
      </w:r>
      <w:r>
        <w:t>.</w:t>
      </w:r>
    </w:p>
    <w:p w:rsidR="00107139" w:rsidRDefault="00107139">
      <w:pPr>
        <w:tabs>
          <w:tab w:val="left" w:pos="540"/>
        </w:tabs>
        <w:spacing w:after="120"/>
        <w:ind w:left="540" w:hanging="540"/>
      </w:pPr>
    </w:p>
    <w:p w:rsidR="00107139" w:rsidRDefault="008B0762">
      <w:pPr>
        <w:tabs>
          <w:tab w:val="left" w:pos="540"/>
        </w:tabs>
        <w:spacing w:after="60"/>
        <w:ind w:left="547" w:hanging="547"/>
        <w:rPr>
          <w:rFonts w:eastAsia="Times New Roman"/>
          <w:b/>
        </w:rPr>
      </w:pPr>
      <w:r>
        <w:rPr>
          <w:rFonts w:eastAsia="Times New Roman"/>
          <w:b/>
        </w:rPr>
        <w:t>Q</w:t>
      </w:r>
      <w:r w:rsidR="0052403D">
        <w:rPr>
          <w:rFonts w:eastAsia="Times New Roman"/>
          <w:b/>
        </w:rPr>
        <w:t>19</w:t>
      </w:r>
      <w:r>
        <w:rPr>
          <w:rFonts w:eastAsia="Times New Roman"/>
          <w:b/>
        </w:rPr>
        <w:t>:</w:t>
      </w:r>
      <w:r>
        <w:rPr>
          <w:rFonts w:eastAsia="Times New Roman"/>
          <w:b/>
        </w:rPr>
        <w:tab/>
        <w:t xml:space="preserve">Will the MVIs required to set the customers up with </w:t>
      </w:r>
      <w:r w:rsidR="0091616C">
        <w:rPr>
          <w:rFonts w:eastAsia="Times New Roman"/>
          <w:b/>
        </w:rPr>
        <w:t>AEP Texas</w:t>
      </w:r>
      <w:r>
        <w:rPr>
          <w:rFonts w:eastAsia="Times New Roman"/>
          <w:b/>
        </w:rPr>
        <w:t xml:space="preserve"> require new Terms of Service? </w:t>
      </w:r>
      <w:proofErr w:type="gramStart"/>
      <w:r>
        <w:rPr>
          <w:rFonts w:eastAsia="Times New Roman"/>
          <w:b/>
        </w:rPr>
        <w:t>New contracts?</w:t>
      </w:r>
      <w:proofErr w:type="gramEnd"/>
      <w:r>
        <w:rPr>
          <w:rFonts w:eastAsia="Times New Roman"/>
          <w:b/>
        </w:rPr>
        <w:t xml:space="preserve"> Electricity Facts Label (EFL)?  </w:t>
      </w:r>
    </w:p>
    <w:p w:rsidR="00107139" w:rsidRDefault="008B0762">
      <w:pPr>
        <w:tabs>
          <w:tab w:val="left" w:pos="540"/>
        </w:tabs>
        <w:spacing w:after="120"/>
        <w:ind w:left="547" w:hanging="547"/>
        <w:rPr>
          <w:rFonts w:eastAsia="Times New Roman"/>
        </w:rPr>
      </w:pPr>
      <w:r>
        <w:rPr>
          <w:rFonts w:eastAsia="Times New Roman"/>
        </w:rPr>
        <w:t xml:space="preserve">A: </w:t>
      </w:r>
      <w:r>
        <w:rPr>
          <w:rFonts w:eastAsia="Times New Roman"/>
        </w:rPr>
        <w:tab/>
        <w:t xml:space="preserve">Retailers should work with their regulatory and legal departments and the PUC to determine if new Terms of Service, </w:t>
      </w:r>
      <w:r w:rsidR="004613D0">
        <w:rPr>
          <w:rFonts w:eastAsia="Times New Roman"/>
        </w:rPr>
        <w:t xml:space="preserve">Contracts and EFLs </w:t>
      </w:r>
      <w:r>
        <w:rPr>
          <w:rFonts w:eastAsia="Times New Roman"/>
        </w:rPr>
        <w:t>are required.</w:t>
      </w:r>
    </w:p>
    <w:p w:rsidR="00107139" w:rsidRDefault="00107139">
      <w:pPr>
        <w:tabs>
          <w:tab w:val="left" w:pos="540"/>
        </w:tabs>
        <w:spacing w:after="120"/>
        <w:ind w:left="547" w:hanging="547"/>
        <w:rPr>
          <w:rFonts w:eastAsia="Times New Roman"/>
        </w:rPr>
      </w:pPr>
    </w:p>
    <w:p w:rsidR="00107139" w:rsidRDefault="008B0762">
      <w:pPr>
        <w:tabs>
          <w:tab w:val="left" w:pos="540"/>
        </w:tabs>
        <w:spacing w:after="60"/>
        <w:ind w:left="547" w:hanging="547"/>
        <w:rPr>
          <w:rFonts w:eastAsia="Times New Roman"/>
          <w:b/>
        </w:rPr>
      </w:pPr>
      <w:r>
        <w:rPr>
          <w:rFonts w:eastAsia="Times New Roman"/>
          <w:b/>
        </w:rPr>
        <w:t>Q</w:t>
      </w:r>
      <w:r w:rsidR="0052403D">
        <w:rPr>
          <w:rFonts w:eastAsia="Times New Roman"/>
          <w:b/>
        </w:rPr>
        <w:t>20</w:t>
      </w:r>
      <w:r>
        <w:rPr>
          <w:rFonts w:eastAsia="Times New Roman"/>
          <w:b/>
        </w:rPr>
        <w:t>:</w:t>
      </w:r>
      <w:r>
        <w:rPr>
          <w:rFonts w:eastAsia="Times New Roman"/>
          <w:b/>
        </w:rPr>
        <w:tab/>
        <w:t xml:space="preserve">Will customers be permitted to select a new REP as part of the transition?  </w:t>
      </w:r>
    </w:p>
    <w:p w:rsidR="00107139" w:rsidRDefault="008B0762">
      <w:pPr>
        <w:tabs>
          <w:tab w:val="left" w:pos="540"/>
        </w:tabs>
        <w:spacing w:after="120"/>
        <w:ind w:left="547" w:hanging="547"/>
        <w:rPr>
          <w:rFonts w:eastAsia="Times New Roman"/>
        </w:rPr>
      </w:pPr>
      <w:r>
        <w:rPr>
          <w:rFonts w:eastAsia="Times New Roman"/>
        </w:rPr>
        <w:t xml:space="preserve">A:  </w:t>
      </w:r>
      <w:r>
        <w:rPr>
          <w:rFonts w:eastAsia="Times New Roman"/>
        </w:rPr>
        <w:tab/>
        <w:t>No.  ESI</w:t>
      </w:r>
      <w:r w:rsidR="00FD3A15">
        <w:rPr>
          <w:rFonts w:eastAsia="Times New Roman"/>
        </w:rPr>
        <w:t xml:space="preserve"> </w:t>
      </w:r>
      <w:r w:rsidR="00B9698E">
        <w:rPr>
          <w:rFonts w:eastAsia="Times New Roman"/>
        </w:rPr>
        <w:t>ID</w:t>
      </w:r>
      <w:r>
        <w:rPr>
          <w:rFonts w:eastAsia="Times New Roman"/>
        </w:rPr>
        <w:t xml:space="preserve">s should transition to </w:t>
      </w:r>
      <w:r w:rsidR="0091616C">
        <w:rPr>
          <w:rFonts w:eastAsia="Times New Roman"/>
        </w:rPr>
        <w:t>AEP Texas</w:t>
      </w:r>
      <w:r>
        <w:rPr>
          <w:rFonts w:eastAsia="Times New Roman"/>
        </w:rPr>
        <w:t xml:space="preserve"> with the same REP serving the premise immediately before the transition.  The transition event should not be seen as a time for selecting a new REP.    Any switches pending at the time of transition will be cancelled and will need to be resubmitted by the gaining REP after completion of the current REP of record MVI to </w:t>
      </w:r>
      <w:r w:rsidR="0091616C">
        <w:rPr>
          <w:rFonts w:eastAsia="Times New Roman"/>
        </w:rPr>
        <w:t>AEP Texas</w:t>
      </w:r>
      <w:r>
        <w:rPr>
          <w:rFonts w:eastAsia="Times New Roman"/>
        </w:rPr>
        <w:t>.</w:t>
      </w:r>
    </w:p>
    <w:p w:rsidR="00107139" w:rsidRDefault="00107139">
      <w:pPr>
        <w:tabs>
          <w:tab w:val="left" w:pos="540"/>
        </w:tabs>
        <w:spacing w:after="120" w:line="240" w:lineRule="auto"/>
        <w:ind w:left="547" w:hanging="547"/>
        <w:rPr>
          <w:rFonts w:eastAsia="Times New Roman"/>
        </w:rPr>
      </w:pPr>
    </w:p>
    <w:p w:rsidR="00107139" w:rsidRDefault="008B0762">
      <w:pPr>
        <w:tabs>
          <w:tab w:val="left" w:pos="540"/>
        </w:tabs>
        <w:spacing w:after="60" w:line="240" w:lineRule="auto"/>
        <w:ind w:left="547" w:hanging="547"/>
        <w:rPr>
          <w:rFonts w:eastAsia="Times New Roman"/>
          <w:b/>
        </w:rPr>
      </w:pPr>
      <w:r>
        <w:rPr>
          <w:rFonts w:eastAsia="Times New Roman"/>
          <w:b/>
        </w:rPr>
        <w:lastRenderedPageBreak/>
        <w:t>Q</w:t>
      </w:r>
      <w:r w:rsidR="0052403D">
        <w:rPr>
          <w:rFonts w:eastAsia="Times New Roman"/>
          <w:b/>
        </w:rPr>
        <w:t>21</w:t>
      </w:r>
      <w:r>
        <w:rPr>
          <w:rFonts w:eastAsia="Times New Roman"/>
          <w:b/>
        </w:rPr>
        <w:t>:</w:t>
      </w:r>
      <w:r>
        <w:rPr>
          <w:rFonts w:eastAsia="Times New Roman"/>
          <w:b/>
        </w:rPr>
        <w:tab/>
        <w:t xml:space="preserve">Will any market testing </w:t>
      </w:r>
      <w:r w:rsidR="007A7604">
        <w:rPr>
          <w:rFonts w:eastAsia="Times New Roman"/>
          <w:b/>
        </w:rPr>
        <w:t xml:space="preserve">be </w:t>
      </w:r>
      <w:r>
        <w:rPr>
          <w:rFonts w:eastAsia="Times New Roman"/>
          <w:b/>
        </w:rPr>
        <w:t xml:space="preserve">required for this transition?  </w:t>
      </w:r>
    </w:p>
    <w:p w:rsidR="00107139" w:rsidRDefault="008B0762" w:rsidP="00FD3A15">
      <w:pPr>
        <w:tabs>
          <w:tab w:val="left" w:pos="540"/>
        </w:tabs>
        <w:spacing w:after="120" w:line="240" w:lineRule="auto"/>
        <w:ind w:left="547" w:hanging="547"/>
        <w:rPr>
          <w:rFonts w:eastAsia="Times New Roman"/>
        </w:rPr>
      </w:pPr>
      <w:r>
        <w:rPr>
          <w:rFonts w:eastAsia="Times New Roman"/>
        </w:rPr>
        <w:t xml:space="preserve">A:  </w:t>
      </w:r>
      <w:r>
        <w:rPr>
          <w:rFonts w:eastAsia="Times New Roman"/>
        </w:rPr>
        <w:tab/>
      </w:r>
      <w:r w:rsidR="00FD3A15" w:rsidRPr="00FD3A15">
        <w:rPr>
          <w:rFonts w:eastAsia="Times New Roman"/>
        </w:rPr>
        <w:t xml:space="preserve">It has been confirmed that all REPs certified to operate in the </w:t>
      </w:r>
      <w:r w:rsidR="0091616C">
        <w:rPr>
          <w:rFonts w:eastAsia="Times New Roman"/>
        </w:rPr>
        <w:t>Oncor</w:t>
      </w:r>
      <w:r w:rsidR="00FD3A15" w:rsidRPr="00FD3A15">
        <w:rPr>
          <w:rFonts w:eastAsia="Times New Roman"/>
        </w:rPr>
        <w:t xml:space="preserve"> service territory are also certified in </w:t>
      </w:r>
      <w:r w:rsidR="0091616C">
        <w:rPr>
          <w:rFonts w:eastAsia="Times New Roman"/>
        </w:rPr>
        <w:t>AEP Texas</w:t>
      </w:r>
      <w:r w:rsidR="00FD3A15" w:rsidRPr="00FD3A15">
        <w:rPr>
          <w:rFonts w:eastAsia="Times New Roman"/>
        </w:rPr>
        <w:t>’s service territory.</w:t>
      </w:r>
      <w:r w:rsidR="00FD3A15">
        <w:rPr>
          <w:rFonts w:eastAsia="Times New Roman"/>
        </w:rPr>
        <w:t xml:space="preserve"> </w:t>
      </w:r>
      <w:r w:rsidR="00FD3A15" w:rsidRPr="00FD3A15">
        <w:rPr>
          <w:rFonts w:eastAsia="Times New Roman"/>
        </w:rPr>
        <w:t xml:space="preserve">REPs </w:t>
      </w:r>
      <w:r w:rsidR="007A7604">
        <w:rPr>
          <w:rFonts w:eastAsia="Times New Roman"/>
        </w:rPr>
        <w:t>that</w:t>
      </w:r>
      <w:r w:rsidR="00FD3A15" w:rsidRPr="00FD3A15">
        <w:rPr>
          <w:rFonts w:eastAsia="Times New Roman"/>
        </w:rPr>
        <w:t xml:space="preserve"> are currently certified to operate in </w:t>
      </w:r>
      <w:r w:rsidR="0091616C">
        <w:rPr>
          <w:rFonts w:eastAsia="Times New Roman"/>
        </w:rPr>
        <w:t>AEP Texas</w:t>
      </w:r>
      <w:r w:rsidR="00FD3A15" w:rsidRPr="00FD3A15">
        <w:rPr>
          <w:rFonts w:eastAsia="Times New Roman"/>
        </w:rPr>
        <w:t>’s service territory will not require additional testing.</w:t>
      </w:r>
    </w:p>
    <w:p w:rsidR="007A7604" w:rsidRDefault="007A7604" w:rsidP="00FD3A15">
      <w:pPr>
        <w:tabs>
          <w:tab w:val="left" w:pos="540"/>
        </w:tabs>
        <w:spacing w:after="120" w:line="240" w:lineRule="auto"/>
        <w:ind w:left="547" w:hanging="547"/>
      </w:pPr>
    </w:p>
    <w:p w:rsidR="00107139" w:rsidRDefault="008B0762">
      <w:pPr>
        <w:tabs>
          <w:tab w:val="left" w:pos="540"/>
        </w:tabs>
        <w:spacing w:after="60"/>
        <w:ind w:left="547" w:hanging="547"/>
        <w:rPr>
          <w:b/>
        </w:rPr>
      </w:pPr>
      <w:r>
        <w:rPr>
          <w:b/>
        </w:rPr>
        <w:t>Q</w:t>
      </w:r>
      <w:r w:rsidR="0052403D">
        <w:rPr>
          <w:b/>
        </w:rPr>
        <w:t>22</w:t>
      </w:r>
      <w:r>
        <w:rPr>
          <w:b/>
        </w:rPr>
        <w:t>:</w:t>
      </w:r>
      <w:r>
        <w:rPr>
          <w:b/>
        </w:rPr>
        <w:tab/>
      </w:r>
      <w:r w:rsidR="003A7D9D">
        <w:rPr>
          <w:b/>
        </w:rPr>
        <w:t>How w</w:t>
      </w:r>
      <w:r>
        <w:rPr>
          <w:b/>
        </w:rPr>
        <w:t xml:space="preserve">ill </w:t>
      </w:r>
      <w:r w:rsidR="003A7D9D">
        <w:rPr>
          <w:b/>
        </w:rPr>
        <w:t>transitioned</w:t>
      </w:r>
      <w:r>
        <w:rPr>
          <w:b/>
        </w:rPr>
        <w:t xml:space="preserve"> customers be able to report outages </w:t>
      </w:r>
      <w:r w:rsidR="003A7D9D">
        <w:rPr>
          <w:b/>
        </w:rPr>
        <w:t>to</w:t>
      </w:r>
      <w:r>
        <w:rPr>
          <w:b/>
        </w:rPr>
        <w:t xml:space="preserve"> </w:t>
      </w:r>
      <w:r w:rsidR="0091616C">
        <w:rPr>
          <w:b/>
        </w:rPr>
        <w:t>AEP Texas</w:t>
      </w:r>
      <w:r>
        <w:rPr>
          <w:b/>
        </w:rPr>
        <w:t xml:space="preserve">? </w:t>
      </w:r>
    </w:p>
    <w:p w:rsidR="00107139" w:rsidRDefault="008B0762">
      <w:pPr>
        <w:tabs>
          <w:tab w:val="left" w:pos="540"/>
        </w:tabs>
        <w:spacing w:after="120"/>
        <w:ind w:left="547" w:hanging="547"/>
      </w:pPr>
      <w:r>
        <w:t>A:</w:t>
      </w:r>
      <w:r>
        <w:tab/>
      </w:r>
      <w:r w:rsidR="003A7D9D">
        <w:t>Transitioned customers will be able to utilize all AEP Texas outage reporting tools and status update channels that are currently provided by AEP Texas. Customers can also call the AEP Texas outage number</w:t>
      </w:r>
      <w:r w:rsidR="006643D0">
        <w:t xml:space="preserve"> at 1-</w:t>
      </w:r>
      <w:r w:rsidR="006643D0" w:rsidRPr="006643D0">
        <w:t>800-672-2231</w:t>
      </w:r>
      <w:r w:rsidR="003A7D9D">
        <w:t>.</w:t>
      </w:r>
    </w:p>
    <w:p w:rsidR="003B1DC0" w:rsidRDefault="003B1DC0">
      <w:pPr>
        <w:tabs>
          <w:tab w:val="left" w:pos="540"/>
        </w:tabs>
        <w:spacing w:after="120"/>
        <w:ind w:left="547" w:hanging="547"/>
      </w:pPr>
    </w:p>
    <w:p w:rsidR="004E3B55" w:rsidRDefault="004E3B55" w:rsidP="004E3B55">
      <w:pPr>
        <w:tabs>
          <w:tab w:val="left" w:pos="540"/>
        </w:tabs>
        <w:spacing w:after="60"/>
        <w:ind w:left="547" w:hanging="547"/>
        <w:rPr>
          <w:b/>
        </w:rPr>
      </w:pPr>
      <w:r>
        <w:rPr>
          <w:b/>
        </w:rPr>
        <w:t>Q</w:t>
      </w:r>
      <w:r w:rsidR="0052403D">
        <w:rPr>
          <w:b/>
        </w:rPr>
        <w:t>23</w:t>
      </w:r>
      <w:r>
        <w:rPr>
          <w:b/>
        </w:rPr>
        <w:t>:</w:t>
      </w:r>
      <w:r>
        <w:rPr>
          <w:b/>
        </w:rPr>
        <w:tab/>
        <w:t xml:space="preserve">Will </w:t>
      </w:r>
      <w:r w:rsidR="0091616C">
        <w:rPr>
          <w:b/>
        </w:rPr>
        <w:t>Oncor</w:t>
      </w:r>
      <w:r>
        <w:rPr>
          <w:b/>
        </w:rPr>
        <w:t xml:space="preserve"> switch holds be carried over to </w:t>
      </w:r>
      <w:r w:rsidR="0091616C">
        <w:rPr>
          <w:b/>
        </w:rPr>
        <w:t>AEP Texas</w:t>
      </w:r>
      <w:r>
        <w:rPr>
          <w:b/>
        </w:rPr>
        <w:t xml:space="preserve"> ESI IDs? </w:t>
      </w:r>
    </w:p>
    <w:p w:rsidR="004E3B55" w:rsidRDefault="004E3B55" w:rsidP="004E3B55">
      <w:pPr>
        <w:tabs>
          <w:tab w:val="left" w:pos="540"/>
        </w:tabs>
        <w:spacing w:after="120"/>
        <w:ind w:left="547" w:hanging="547"/>
      </w:pPr>
      <w:r>
        <w:t>A:</w:t>
      </w:r>
      <w:r>
        <w:tab/>
      </w:r>
      <w:r w:rsidR="0091616C">
        <w:t>AEP Texas</w:t>
      </w:r>
      <w:r>
        <w:t xml:space="preserve"> will not re-instate </w:t>
      </w:r>
      <w:r w:rsidR="0091616C">
        <w:t>Oncor</w:t>
      </w:r>
      <w:r>
        <w:t xml:space="preserve"> tampering switch holds. </w:t>
      </w:r>
      <w:r w:rsidR="0052403D">
        <w:t>However, if REPs</w:t>
      </w:r>
      <w:r w:rsidR="0052403D">
        <w:t xml:space="preserve"> want to reinstate DPP switch holds on their customers</w:t>
      </w:r>
      <w:r w:rsidR="0052403D">
        <w:t xml:space="preserve">, </w:t>
      </w:r>
      <w:r>
        <w:t xml:space="preserve">REPs will need to send deferred payment plan (DPP) switch holds to </w:t>
      </w:r>
      <w:r w:rsidR="0091616C">
        <w:t>AEP Texas</w:t>
      </w:r>
      <w:r>
        <w:t xml:space="preserve"> after the transition.</w:t>
      </w:r>
    </w:p>
    <w:p w:rsidR="004E3B55" w:rsidRDefault="004E3B55" w:rsidP="004E3B55">
      <w:pPr>
        <w:tabs>
          <w:tab w:val="left" w:pos="540"/>
        </w:tabs>
        <w:spacing w:after="120"/>
        <w:ind w:left="547" w:hanging="547"/>
      </w:pPr>
    </w:p>
    <w:p w:rsidR="004E3B55" w:rsidRDefault="004E3B55" w:rsidP="004E3B55">
      <w:pPr>
        <w:tabs>
          <w:tab w:val="left" w:pos="540"/>
        </w:tabs>
        <w:spacing w:after="60"/>
        <w:ind w:left="547" w:hanging="547"/>
        <w:rPr>
          <w:b/>
        </w:rPr>
      </w:pPr>
      <w:r>
        <w:rPr>
          <w:b/>
        </w:rPr>
        <w:t>Q</w:t>
      </w:r>
      <w:r w:rsidR="0052403D">
        <w:rPr>
          <w:b/>
        </w:rPr>
        <w:t>24</w:t>
      </w:r>
      <w:r>
        <w:rPr>
          <w:b/>
        </w:rPr>
        <w:t>:</w:t>
      </w:r>
      <w:r>
        <w:rPr>
          <w:b/>
        </w:rPr>
        <w:tab/>
        <w:t xml:space="preserve">Will </w:t>
      </w:r>
      <w:r w:rsidR="0091616C">
        <w:rPr>
          <w:b/>
        </w:rPr>
        <w:t>Oncor</w:t>
      </w:r>
      <w:r>
        <w:rPr>
          <w:b/>
        </w:rPr>
        <w:t xml:space="preserve"> critical care / critical load designations </w:t>
      </w:r>
      <w:proofErr w:type="gramStart"/>
      <w:r>
        <w:rPr>
          <w:b/>
        </w:rPr>
        <w:t>be</w:t>
      </w:r>
      <w:proofErr w:type="gramEnd"/>
      <w:r>
        <w:rPr>
          <w:b/>
        </w:rPr>
        <w:t xml:space="preserve"> carried over to </w:t>
      </w:r>
      <w:r w:rsidR="0091616C">
        <w:rPr>
          <w:b/>
        </w:rPr>
        <w:t>AEP Texas</w:t>
      </w:r>
      <w:r>
        <w:rPr>
          <w:b/>
        </w:rPr>
        <w:t xml:space="preserve"> ESI IDs? </w:t>
      </w:r>
    </w:p>
    <w:p w:rsidR="004E3B55" w:rsidRDefault="004E3B55" w:rsidP="003A7D9D">
      <w:pPr>
        <w:tabs>
          <w:tab w:val="left" w:pos="540"/>
        </w:tabs>
        <w:spacing w:after="120"/>
        <w:ind w:left="547" w:hanging="547"/>
      </w:pPr>
      <w:r>
        <w:t>A:</w:t>
      </w:r>
      <w:r>
        <w:tab/>
      </w:r>
      <w:r w:rsidR="0052403D">
        <w:t>Yes, a</w:t>
      </w:r>
      <w:r w:rsidRPr="004E3B55">
        <w:t xml:space="preserve">fter the transition, </w:t>
      </w:r>
      <w:r w:rsidR="0091616C">
        <w:t>AEP Texas</w:t>
      </w:r>
      <w:r w:rsidRPr="004E3B55">
        <w:t xml:space="preserve"> will re-instate critical care / critical load designations.  814_20s will be sent to the REPs of record.</w:t>
      </w:r>
    </w:p>
    <w:p w:rsidR="006643D0" w:rsidRDefault="006643D0" w:rsidP="003A7D9D">
      <w:pPr>
        <w:tabs>
          <w:tab w:val="left" w:pos="540"/>
        </w:tabs>
        <w:spacing w:after="120"/>
        <w:ind w:left="547" w:hanging="547"/>
      </w:pPr>
    </w:p>
    <w:p w:rsidR="006643D0" w:rsidRPr="00E75EB9" w:rsidRDefault="0052403D" w:rsidP="003A7D9D">
      <w:pPr>
        <w:tabs>
          <w:tab w:val="left" w:pos="540"/>
        </w:tabs>
        <w:spacing w:after="120"/>
        <w:ind w:left="547" w:hanging="547"/>
        <w:rPr>
          <w:b/>
        </w:rPr>
      </w:pPr>
      <w:r>
        <w:rPr>
          <w:b/>
        </w:rPr>
        <w:t>Q25</w:t>
      </w:r>
      <w:r w:rsidR="006643D0" w:rsidRPr="00E75EB9">
        <w:rPr>
          <w:b/>
        </w:rPr>
        <w:t>:</w:t>
      </w:r>
      <w:r w:rsidR="006643D0" w:rsidRPr="00E75EB9">
        <w:rPr>
          <w:b/>
        </w:rPr>
        <w:tab/>
        <w:t xml:space="preserve">Will customers need to register their new </w:t>
      </w:r>
      <w:r w:rsidR="00E75EB9" w:rsidRPr="00E75EB9">
        <w:rPr>
          <w:b/>
        </w:rPr>
        <w:t xml:space="preserve">AEP Texas </w:t>
      </w:r>
      <w:r w:rsidR="006643D0" w:rsidRPr="00E75EB9">
        <w:rPr>
          <w:b/>
        </w:rPr>
        <w:t>ESI ID and Meter</w:t>
      </w:r>
      <w:r w:rsidR="00E75EB9" w:rsidRPr="00E75EB9">
        <w:rPr>
          <w:b/>
        </w:rPr>
        <w:t xml:space="preserve"> #</w:t>
      </w:r>
      <w:r w:rsidR="006643D0" w:rsidRPr="00E75EB9">
        <w:rPr>
          <w:b/>
        </w:rPr>
        <w:t xml:space="preserve"> with Smart Meter Texas?</w:t>
      </w:r>
      <w:r w:rsidR="00E75EB9" w:rsidRPr="00E75EB9">
        <w:rPr>
          <w:b/>
        </w:rPr>
        <w:t xml:space="preserve"> What will happen with the Oncor ESI ID and Meter #?</w:t>
      </w:r>
    </w:p>
    <w:p w:rsidR="006643D0" w:rsidRPr="003A7D9D" w:rsidRDefault="00E75EB9" w:rsidP="003A7D9D">
      <w:pPr>
        <w:tabs>
          <w:tab w:val="left" w:pos="540"/>
        </w:tabs>
        <w:spacing w:after="120"/>
        <w:ind w:left="547" w:hanging="547"/>
      </w:pPr>
      <w:r>
        <w:t>A:</w:t>
      </w:r>
      <w:r>
        <w:tab/>
        <w:t>Yes, the customer should re-enroll their new AEP Texas ESI ID and Meter # with Smart Meter Texas. The old Oncor ESI ID and Meter # will be un-registered at Smart Meter Texas.</w:t>
      </w:r>
    </w:p>
    <w:sectPr w:rsidR="006643D0" w:rsidRPr="003A7D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2DC" w:rsidRDefault="001432DC">
      <w:pPr>
        <w:spacing w:after="0" w:line="240" w:lineRule="auto"/>
      </w:pPr>
      <w:r>
        <w:separator/>
      </w:r>
    </w:p>
  </w:endnote>
  <w:endnote w:type="continuationSeparator" w:id="0">
    <w:p w:rsidR="001432DC" w:rsidRDefault="00143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243385"/>
      <w:docPartObj>
        <w:docPartGallery w:val="Page Numbers (Bottom of Page)"/>
        <w:docPartUnique/>
      </w:docPartObj>
    </w:sdtPr>
    <w:sdtEndPr>
      <w:rPr>
        <w:noProof/>
      </w:rPr>
    </w:sdtEndPr>
    <w:sdtContent>
      <w:p w:rsidR="00107139" w:rsidRDefault="008B0762">
        <w:pPr>
          <w:pStyle w:val="Footer"/>
          <w:jc w:val="center"/>
        </w:pPr>
        <w:r>
          <w:fldChar w:fldCharType="begin"/>
        </w:r>
        <w:r>
          <w:instrText xml:space="preserve"> PAGE   \* MERGEFORMAT </w:instrText>
        </w:r>
        <w:r>
          <w:fldChar w:fldCharType="separate"/>
        </w:r>
        <w:r w:rsidR="00670CF6">
          <w:rPr>
            <w:noProof/>
          </w:rPr>
          <w:t>1</w:t>
        </w:r>
        <w:r>
          <w:rPr>
            <w:noProof/>
          </w:rPr>
          <w:fldChar w:fldCharType="end"/>
        </w:r>
      </w:p>
    </w:sdtContent>
  </w:sdt>
  <w:p w:rsidR="00107139" w:rsidRDefault="00107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2DC" w:rsidRDefault="001432DC">
      <w:pPr>
        <w:spacing w:after="0" w:line="240" w:lineRule="auto"/>
      </w:pPr>
      <w:r>
        <w:separator/>
      </w:r>
    </w:p>
  </w:footnote>
  <w:footnote w:type="continuationSeparator" w:id="0">
    <w:p w:rsidR="001432DC" w:rsidRDefault="00143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7E3"/>
    <w:multiLevelType w:val="hybridMultilevel"/>
    <w:tmpl w:val="36EEB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515BC4"/>
    <w:multiLevelType w:val="hybridMultilevel"/>
    <w:tmpl w:val="D5A4B60A"/>
    <w:lvl w:ilvl="0" w:tplc="BE2AED36">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6DF0115"/>
    <w:multiLevelType w:val="hybridMultilevel"/>
    <w:tmpl w:val="718221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70E7F5C"/>
    <w:multiLevelType w:val="hybridMultilevel"/>
    <w:tmpl w:val="974836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32232517"/>
    <w:multiLevelType w:val="hybridMultilevel"/>
    <w:tmpl w:val="0BE46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ory, Angela">
    <w15:presenceInfo w15:providerId="AD" w15:userId="S-1-5-21-301216946-3585490412-299853924-9160"/>
  </w15:person>
  <w15:person w15:author="BJ Flowers">
    <w15:presenceInfo w15:providerId="AD" w15:userId="S-1-5-21-515376591-283335096-3600541201-5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39"/>
    <w:rsid w:val="00050D6E"/>
    <w:rsid w:val="00053897"/>
    <w:rsid w:val="00062E43"/>
    <w:rsid w:val="00083FA3"/>
    <w:rsid w:val="00086B4B"/>
    <w:rsid w:val="000A1297"/>
    <w:rsid w:val="000E2836"/>
    <w:rsid w:val="000F4A33"/>
    <w:rsid w:val="00101AF9"/>
    <w:rsid w:val="00107139"/>
    <w:rsid w:val="001432DC"/>
    <w:rsid w:val="00153A07"/>
    <w:rsid w:val="00163D3F"/>
    <w:rsid w:val="001D1B56"/>
    <w:rsid w:val="001E7974"/>
    <w:rsid w:val="00344EF7"/>
    <w:rsid w:val="00382F8F"/>
    <w:rsid w:val="003A7D9D"/>
    <w:rsid w:val="003B1DC0"/>
    <w:rsid w:val="003B4980"/>
    <w:rsid w:val="00420963"/>
    <w:rsid w:val="004613D0"/>
    <w:rsid w:val="00485147"/>
    <w:rsid w:val="004E3B55"/>
    <w:rsid w:val="0052403D"/>
    <w:rsid w:val="005308D8"/>
    <w:rsid w:val="005411B1"/>
    <w:rsid w:val="00542F2C"/>
    <w:rsid w:val="00596A57"/>
    <w:rsid w:val="00644A12"/>
    <w:rsid w:val="006643D0"/>
    <w:rsid w:val="00670CF6"/>
    <w:rsid w:val="00696E8E"/>
    <w:rsid w:val="007252FA"/>
    <w:rsid w:val="007423D4"/>
    <w:rsid w:val="00747138"/>
    <w:rsid w:val="007A7604"/>
    <w:rsid w:val="008576B1"/>
    <w:rsid w:val="00886016"/>
    <w:rsid w:val="0089565B"/>
    <w:rsid w:val="008B0762"/>
    <w:rsid w:val="008C0188"/>
    <w:rsid w:val="008C7132"/>
    <w:rsid w:val="0091616C"/>
    <w:rsid w:val="00986519"/>
    <w:rsid w:val="009D6779"/>
    <w:rsid w:val="009E7AD1"/>
    <w:rsid w:val="00A1383A"/>
    <w:rsid w:val="00A3210F"/>
    <w:rsid w:val="00A44F62"/>
    <w:rsid w:val="00AC32ED"/>
    <w:rsid w:val="00AD0ECB"/>
    <w:rsid w:val="00B1720E"/>
    <w:rsid w:val="00B35F40"/>
    <w:rsid w:val="00B42E22"/>
    <w:rsid w:val="00B8468A"/>
    <w:rsid w:val="00B9698E"/>
    <w:rsid w:val="00C26D04"/>
    <w:rsid w:val="00C34175"/>
    <w:rsid w:val="00C460BF"/>
    <w:rsid w:val="00CB7D66"/>
    <w:rsid w:val="00D2015E"/>
    <w:rsid w:val="00D21710"/>
    <w:rsid w:val="00D24A5E"/>
    <w:rsid w:val="00D255B4"/>
    <w:rsid w:val="00D4340A"/>
    <w:rsid w:val="00D80DBE"/>
    <w:rsid w:val="00DE2E04"/>
    <w:rsid w:val="00E67D29"/>
    <w:rsid w:val="00E75EB9"/>
    <w:rsid w:val="00E85CA3"/>
    <w:rsid w:val="00F21E9F"/>
    <w:rsid w:val="00F472C4"/>
    <w:rsid w:val="00F72F80"/>
    <w:rsid w:val="00F8456B"/>
    <w:rsid w:val="00FB324F"/>
    <w:rsid w:val="00FD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86866">
      <w:bodyDiv w:val="1"/>
      <w:marLeft w:val="0"/>
      <w:marRight w:val="0"/>
      <w:marTop w:val="0"/>
      <w:marBottom w:val="0"/>
      <w:divBdr>
        <w:top w:val="none" w:sz="0" w:space="0" w:color="auto"/>
        <w:left w:val="none" w:sz="0" w:space="0" w:color="auto"/>
        <w:bottom w:val="none" w:sz="0" w:space="0" w:color="auto"/>
        <w:right w:val="none" w:sz="0" w:space="0" w:color="auto"/>
      </w:divBdr>
    </w:div>
    <w:div w:id="943926705">
      <w:bodyDiv w:val="1"/>
      <w:marLeft w:val="0"/>
      <w:marRight w:val="0"/>
      <w:marTop w:val="0"/>
      <w:marBottom w:val="0"/>
      <w:divBdr>
        <w:top w:val="none" w:sz="0" w:space="0" w:color="auto"/>
        <w:left w:val="none" w:sz="0" w:space="0" w:color="auto"/>
        <w:bottom w:val="none" w:sz="0" w:space="0" w:color="auto"/>
        <w:right w:val="none" w:sz="0" w:space="0" w:color="auto"/>
      </w:divBdr>
      <w:divsChild>
        <w:div w:id="89081833">
          <w:marLeft w:val="547"/>
          <w:marRight w:val="0"/>
          <w:marTop w:val="240"/>
          <w:marBottom w:val="0"/>
          <w:divBdr>
            <w:top w:val="none" w:sz="0" w:space="0" w:color="auto"/>
            <w:left w:val="none" w:sz="0" w:space="0" w:color="auto"/>
            <w:bottom w:val="none" w:sz="0" w:space="0" w:color="auto"/>
            <w:right w:val="none" w:sz="0" w:space="0" w:color="auto"/>
          </w:divBdr>
        </w:div>
        <w:div w:id="618489446">
          <w:marLeft w:val="547"/>
          <w:marRight w:val="0"/>
          <w:marTop w:val="240"/>
          <w:marBottom w:val="0"/>
          <w:divBdr>
            <w:top w:val="none" w:sz="0" w:space="0" w:color="auto"/>
            <w:left w:val="none" w:sz="0" w:space="0" w:color="auto"/>
            <w:bottom w:val="none" w:sz="0" w:space="0" w:color="auto"/>
            <w:right w:val="none" w:sz="0" w:space="0" w:color="auto"/>
          </w:divBdr>
        </w:div>
        <w:div w:id="147330618">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398C-3D18-4519-92E5-A4DE1EB0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Guillory, Angela</dc:creator>
  <cp:lastModifiedBy>s262089</cp:lastModifiedBy>
  <cp:revision>4</cp:revision>
  <cp:lastPrinted>2017-07-20T15:03:00Z</cp:lastPrinted>
  <dcterms:created xsi:type="dcterms:W3CDTF">2019-05-31T00:28:00Z</dcterms:created>
  <dcterms:modified xsi:type="dcterms:W3CDTF">2019-05-31T00:37:00Z</dcterms:modified>
</cp:coreProperties>
</file>