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6760BA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May</w:t>
      </w:r>
      <w:r w:rsidR="00F36470"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0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 w:rsidR="00242799">
        <w:rPr>
          <w:color w:val="000000"/>
          <w:sz w:val="22"/>
          <w:szCs w:val="22"/>
        </w:rPr>
        <w:t>9</w:t>
      </w:r>
      <w:r w:rsidR="005F7D78">
        <w:rPr>
          <w:color w:val="000000"/>
          <w:sz w:val="22"/>
          <w:szCs w:val="22"/>
        </w:rPr>
        <w:t>:30</w:t>
      </w:r>
      <w:r w:rsidR="00242799">
        <w:rPr>
          <w:color w:val="000000"/>
          <w:sz w:val="22"/>
          <w:szCs w:val="22"/>
        </w:rPr>
        <w:t xml:space="preserve"> </w:t>
      </w:r>
      <w:r w:rsidR="0077634F" w:rsidRPr="00496E4D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BE4BAD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1E6D1D" w:rsidRDefault="001E6D1D" w:rsidP="001E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Mitigated Offer Caps for Reliability Unit Commitment</w:t>
            </w:r>
          </w:p>
          <w:p w:rsidR="001E6D1D" w:rsidRDefault="001E6D1D" w:rsidP="001E6D1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Separate from NPRR 826</w:t>
            </w:r>
          </w:p>
          <w:p w:rsidR="001E6D1D" w:rsidRPr="005944C6" w:rsidRDefault="001E6D1D" w:rsidP="001E6D1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944C6">
              <w:rPr>
                <w:sz w:val="22"/>
                <w:szCs w:val="22"/>
              </w:rPr>
              <w:t>Develop recommendations for WMS</w:t>
            </w:r>
          </w:p>
          <w:p w:rsidR="00876CD0" w:rsidRPr="00496E4D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Pr="00496E4D" w:rsidRDefault="001E6D1D" w:rsidP="001E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1E6D1D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5944C6" w:rsidP="00851D1A">
            <w:pPr>
              <w:rPr>
                <w:sz w:val="22"/>
                <w:szCs w:val="22"/>
              </w:rPr>
            </w:pPr>
            <w:r w:rsidRPr="005944C6">
              <w:rPr>
                <w:sz w:val="22"/>
                <w:szCs w:val="22"/>
              </w:rPr>
              <w:t>Review a comprehensive analysis of the impacts of NPRR864 from ERCOT and review the information in the RUC report and provide recommendations to WMS</w:t>
            </w:r>
          </w:p>
        </w:tc>
        <w:tc>
          <w:tcPr>
            <w:tcW w:w="1728" w:type="dxa"/>
          </w:tcPr>
          <w:p w:rsidR="0077634F" w:rsidRPr="00496E4D" w:rsidRDefault="00876CD0" w:rsidP="001E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1E6D1D">
              <w:rPr>
                <w:sz w:val="22"/>
                <w:szCs w:val="22"/>
              </w:rPr>
              <w:t>Detelich</w:t>
            </w:r>
          </w:p>
        </w:tc>
        <w:tc>
          <w:tcPr>
            <w:tcW w:w="1188" w:type="dxa"/>
          </w:tcPr>
          <w:p w:rsidR="0077634F" w:rsidRPr="00496E4D" w:rsidRDefault="00851D1A" w:rsidP="00851D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634F">
              <w:rPr>
                <w:sz w:val="22"/>
                <w:szCs w:val="22"/>
              </w:rPr>
              <w:t>:</w:t>
            </w:r>
            <w:r w:rsidR="00B85244">
              <w:rPr>
                <w:sz w:val="22"/>
                <w:szCs w:val="22"/>
              </w:rPr>
              <w:t>00</w:t>
            </w:r>
            <w:r w:rsidR="0077634F">
              <w:rPr>
                <w:sz w:val="22"/>
                <w:szCs w:val="22"/>
              </w:rPr>
              <w:t xml:space="preserve">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5944C6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 Reports</w:t>
            </w:r>
          </w:p>
          <w:p w:rsidR="0077634F" w:rsidRDefault="005944C6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 to perform the review</w:t>
            </w:r>
          </w:p>
          <w:p w:rsidR="00F976F0" w:rsidRPr="00496E4D" w:rsidRDefault="00F976F0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recommendations should be made?</w:t>
            </w:r>
          </w:p>
          <w:p w:rsidR="0077634F" w:rsidRPr="005944C6" w:rsidRDefault="0077634F" w:rsidP="005944C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F976F0" w:rsidRPr="00496E4D" w:rsidTr="00E70952">
        <w:trPr>
          <w:trHeight w:val="360"/>
        </w:trPr>
        <w:tc>
          <w:tcPr>
            <w:tcW w:w="523" w:type="dxa"/>
          </w:tcPr>
          <w:p w:rsidR="00F976F0" w:rsidRPr="00496E4D" w:rsidRDefault="001E6D1D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76F0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F976F0" w:rsidRPr="00F976F0" w:rsidRDefault="00F976F0" w:rsidP="00F976F0">
            <w:p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 xml:space="preserve">Reliability Unit Commitment (RUC) </w:t>
            </w:r>
            <w:r>
              <w:rPr>
                <w:sz w:val="22"/>
                <w:szCs w:val="22"/>
              </w:rPr>
              <w:t>action item</w:t>
            </w:r>
            <w:r w:rsidRPr="00F976F0">
              <w:rPr>
                <w:sz w:val="22"/>
                <w:szCs w:val="22"/>
              </w:rPr>
              <w:t>:</w:t>
            </w:r>
          </w:p>
          <w:p w:rsidR="00F976F0" w:rsidRP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Identify specific NERC obligations to Justify a RUC</w:t>
            </w:r>
          </w:p>
          <w:p w:rsidR="00F976F0" w:rsidRP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Limitations for delay of decision to RUC.</w:t>
            </w:r>
          </w:p>
          <w:p w:rsidR="00F976F0" w:rsidRP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If tipping scale in favor of delay, what is mechanism</w:t>
            </w:r>
          </w:p>
          <w:p w:rsidR="00F976F0" w:rsidRP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Should Ancillary Services penalty curves for RUC be modified</w:t>
            </w:r>
          </w:p>
          <w:p w:rsidR="00F976F0" w:rsidRP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Prescreen info for operators</w:t>
            </w:r>
          </w:p>
          <w:p w:rsidR="00F976F0" w:rsidRDefault="00F976F0" w:rsidP="00F976F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976F0">
              <w:rPr>
                <w:sz w:val="22"/>
                <w:szCs w:val="22"/>
              </w:rPr>
              <w:t>Impact to market and mechanisms to mitigate impacts</w:t>
            </w:r>
          </w:p>
          <w:p w:rsidR="00F976F0" w:rsidRPr="00F976F0" w:rsidRDefault="00F976F0" w:rsidP="00F976F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F976F0" w:rsidRPr="00496E4D" w:rsidRDefault="00F976F0" w:rsidP="001E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1E6D1D">
              <w:rPr>
                <w:sz w:val="22"/>
                <w:szCs w:val="22"/>
              </w:rPr>
              <w:t>Detelich</w:t>
            </w:r>
          </w:p>
        </w:tc>
        <w:tc>
          <w:tcPr>
            <w:tcW w:w="1188" w:type="dxa"/>
          </w:tcPr>
          <w:p w:rsidR="00F976F0" w:rsidRPr="00496E4D" w:rsidRDefault="00F976F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1E6D1D" w:rsidRPr="00496E4D" w:rsidTr="00E70952">
        <w:trPr>
          <w:trHeight w:val="360"/>
        </w:trPr>
        <w:tc>
          <w:tcPr>
            <w:tcW w:w="523" w:type="dxa"/>
          </w:tcPr>
          <w:p w:rsidR="001E6D1D" w:rsidRDefault="00BE4BAD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79" w:type="dxa"/>
          </w:tcPr>
          <w:p w:rsidR="00BE4BAD" w:rsidRDefault="00BE4BAD" w:rsidP="00BE4BAD">
            <w:pPr>
              <w:rPr>
                <w:sz w:val="22"/>
                <w:szCs w:val="22"/>
              </w:rPr>
            </w:pPr>
            <w:r w:rsidRPr="00BE4BAD">
              <w:rPr>
                <w:sz w:val="22"/>
                <w:szCs w:val="22"/>
              </w:rPr>
              <w:t>Market Suspension and Restart – Gaps and other issues that NPRR 850 did not address</w:t>
            </w:r>
          </w:p>
          <w:p w:rsidR="00BE4BAD" w:rsidRPr="00BE4BAD" w:rsidRDefault="00BE4BAD" w:rsidP="00BE4BA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BAD">
              <w:rPr>
                <w:sz w:val="22"/>
                <w:szCs w:val="22"/>
              </w:rPr>
              <w:t xml:space="preserve">Restart mechanics </w:t>
            </w:r>
          </w:p>
          <w:p w:rsidR="001E6D1D" w:rsidRPr="00BE4BAD" w:rsidRDefault="00BE4BAD" w:rsidP="00BE4BA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BAD">
              <w:rPr>
                <w:sz w:val="22"/>
                <w:szCs w:val="22"/>
              </w:rPr>
              <w:t>Pricing impacts</w:t>
            </w:r>
          </w:p>
          <w:p w:rsidR="00BE4BAD" w:rsidRPr="00F976F0" w:rsidRDefault="00BE4BAD" w:rsidP="00BE4BAD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E6D1D" w:rsidRDefault="001E6D1D" w:rsidP="001E6D1D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1E6D1D" w:rsidRPr="00496E4D" w:rsidRDefault="001E6D1D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BE4BAD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4" w:name="_GoBack"/>
            <w:bookmarkEnd w:id="4"/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="0077634F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634F" w:rsidRPr="00496E4D">
              <w:rPr>
                <w:sz w:val="22"/>
                <w:szCs w:val="22"/>
              </w:rPr>
              <w:t>:30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F976F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 w:rsidR="00167B1D">
              <w:rPr>
                <w:sz w:val="22"/>
                <w:szCs w:val="22"/>
              </w:rPr>
              <w:t xml:space="preserve">- </w:t>
            </w:r>
            <w:r w:rsidR="00F976F0">
              <w:rPr>
                <w:sz w:val="22"/>
                <w:szCs w:val="22"/>
              </w:rPr>
              <w:t>June</w:t>
            </w:r>
            <w:r w:rsidR="00167B1D" w:rsidRPr="00167B1D">
              <w:rPr>
                <w:sz w:val="22"/>
                <w:szCs w:val="22"/>
              </w:rPr>
              <w:t xml:space="preserve"> 2</w:t>
            </w:r>
            <w:r w:rsidR="00F976F0">
              <w:rPr>
                <w:sz w:val="22"/>
                <w:szCs w:val="22"/>
              </w:rPr>
              <w:t>4</w:t>
            </w:r>
            <w:r w:rsidR="00167B1D"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lastRenderedPageBreak/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167B1D" w:rsidP="005C1B1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Notes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225BC5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Reliability Unit Commitment (RUC) commitments: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Identify specific NERC obligations to Justify a RUC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Limitations for delay of decision to RUC.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o</w:t>
            </w:r>
            <w:r w:rsidRPr="00225BC5">
              <w:rPr>
                <w:sz w:val="22"/>
                <w:szCs w:val="22"/>
              </w:rPr>
              <w:tab/>
              <w:t>If tipping scale in favor of delay, what is mechanism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Should Ancillary Services penalty curves for RUC be modified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Prescreen info for operators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Impact to market and mechanisms to mitigate impacts</w:t>
            </w:r>
          </w:p>
        </w:tc>
        <w:tc>
          <w:tcPr>
            <w:tcW w:w="2340" w:type="dxa"/>
            <w:vAlign w:val="center"/>
          </w:tcPr>
          <w:p w:rsidR="00225BC5" w:rsidRPr="00225BC5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11/01/2017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Default="00225BC5" w:rsidP="00225BC5">
            <w:r w:rsidRPr="00DB5FF3"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2340" w:type="dxa"/>
          </w:tcPr>
          <w:p w:rsid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DB5FF3" w:rsidRDefault="00225BC5" w:rsidP="00225BC5">
            <w:r w:rsidRPr="00225BC5">
              <w:t xml:space="preserve">Review the issues of RENA and Load Distribution Factors (LDFs) and price floors  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225BC5" w:rsidP="00225BC5">
            <w:r w:rsidRPr="00225BC5">
              <w:t>Deep Dive of potential issues in  the Low System-Wide Offer Cap (LCAP) Methodology if cumulative Peaker Net Margin (PNM) exceeds $315,000/Megawatts (MW) year and there are insufficient Ancillary Service offers in the Day-Ahead Market (DAM)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05/02/2018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3D7664" w:rsidP="00225BC5">
            <w:r w:rsidRPr="003D7664">
              <w:t>TAC Assignment:  Review the commercial impacts of  DC Tie Curtailments</w:t>
            </w:r>
          </w:p>
        </w:tc>
        <w:tc>
          <w:tcPr>
            <w:tcW w:w="2340" w:type="dxa"/>
          </w:tcPr>
          <w:p w:rsidR="00225BC5" w:rsidRPr="00225BC5" w:rsidRDefault="00225BC5" w:rsidP="00225BC5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NPRR838, </w:t>
            </w:r>
            <w:r w:rsidRPr="00253D7A">
              <w:rPr>
                <w:sz w:val="22"/>
                <w:szCs w:val="22"/>
              </w:rPr>
              <w:t xml:space="preserve"> Updated O&amp;M Cost for RMR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NPRR872, </w:t>
            </w:r>
            <w:r w:rsidRPr="00C916B6">
              <w:rPr>
                <w:bCs/>
                <w:sz w:val="22"/>
                <w:szCs w:val="22"/>
              </w:rPr>
              <w:t xml:space="preserve"> Modifying the SASM Shadow Price Cap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>Market Issues related to compensation for Reliability Unit Commitment (RUC) Switchable Generation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422F32" w:rsidRDefault="003D7664" w:rsidP="003D7664">
            <w:pPr>
              <w:rPr>
                <w:sz w:val="22"/>
                <w:szCs w:val="22"/>
              </w:rPr>
            </w:pPr>
            <w:r w:rsidRPr="00422F32">
              <w:rPr>
                <w:sz w:val="22"/>
                <w:szCs w:val="22"/>
              </w:rPr>
              <w:t>Workshop:  Must Run Alternative (MRA) and Load Resource deployments for Local Congestion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lastRenderedPageBreak/>
              <w:t xml:space="preserve">Next Steps for NPRR664:  Fuel Index Price for Resource Definition and Real-Time Make-Whole Payments for Exceptional Fuel Cost Events -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F56E15">
              <w:rPr>
                <w:sz w:val="22"/>
                <w:szCs w:val="22"/>
              </w:rPr>
              <w:t>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</w:t>
            </w:r>
            <w:r w:rsidRPr="002F05AD">
              <w:rPr>
                <w:sz w:val="22"/>
                <w:szCs w:val="22"/>
              </w:rPr>
              <w:t xml:space="preserve">comprehensive analysis of the impacts of NPRR864 </w:t>
            </w:r>
            <w:r>
              <w:rPr>
                <w:sz w:val="22"/>
                <w:szCs w:val="22"/>
              </w:rPr>
              <w:t xml:space="preserve">from ERCOT </w:t>
            </w:r>
            <w:r w:rsidRPr="002F05AD">
              <w:rPr>
                <w:sz w:val="22"/>
                <w:szCs w:val="22"/>
              </w:rPr>
              <w:t xml:space="preserve">and review the information in the RUC report </w:t>
            </w:r>
            <w:r>
              <w:rPr>
                <w:sz w:val="22"/>
                <w:szCs w:val="22"/>
              </w:rPr>
              <w:t>and provide recommendations to WMS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9D7146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6" w:rsidRDefault="009D7146" w:rsidP="009D7146">
            <w:r w:rsidRPr="00CC27DA">
              <w:t>Market Suspension and Restart</w:t>
            </w:r>
            <w:r>
              <w:t xml:space="preserve"> – Gaps and other issues that NPRR 850 did not address</w:t>
            </w:r>
            <w:r w:rsidR="008C5516">
              <w:t xml:space="preserve">; </w:t>
            </w:r>
            <w:r w:rsidR="008C5516" w:rsidRPr="008C5516">
              <w:t>restart mechanics and pricing impacts</w:t>
            </w:r>
          </w:p>
        </w:tc>
        <w:tc>
          <w:tcPr>
            <w:tcW w:w="2340" w:type="dxa"/>
          </w:tcPr>
          <w:p w:rsidR="009D7146" w:rsidRDefault="009D7146" w:rsidP="009D7146">
            <w:r>
              <w:t>New item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F7" w:rsidRDefault="00B46BF7">
      <w:r>
        <w:separator/>
      </w:r>
    </w:p>
  </w:endnote>
  <w:endnote w:type="continuationSeparator" w:id="0">
    <w:p w:rsidR="00B46BF7" w:rsidRDefault="00B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BE4BAD">
      <w:rPr>
        <w:rStyle w:val="PageNumber"/>
        <w:noProof/>
      </w:rPr>
      <w:t>2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BE4BAD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F7" w:rsidRDefault="00B46BF7">
      <w:r>
        <w:separator/>
      </w:r>
    </w:p>
  </w:footnote>
  <w:footnote w:type="continuationSeparator" w:id="0">
    <w:p w:rsidR="00B46BF7" w:rsidRDefault="00B4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9CC"/>
    <w:multiLevelType w:val="hybridMultilevel"/>
    <w:tmpl w:val="4B7C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7B1D"/>
    <w:rsid w:val="00181C50"/>
    <w:rsid w:val="001836B1"/>
    <w:rsid w:val="001A220A"/>
    <w:rsid w:val="001E6D1D"/>
    <w:rsid w:val="001F1B3B"/>
    <w:rsid w:val="001F57E1"/>
    <w:rsid w:val="00225BC5"/>
    <w:rsid w:val="0024020C"/>
    <w:rsid w:val="00242799"/>
    <w:rsid w:val="00246913"/>
    <w:rsid w:val="00247934"/>
    <w:rsid w:val="0029316F"/>
    <w:rsid w:val="002E6353"/>
    <w:rsid w:val="00332E4B"/>
    <w:rsid w:val="00341F8F"/>
    <w:rsid w:val="00345CF6"/>
    <w:rsid w:val="00360073"/>
    <w:rsid w:val="00372452"/>
    <w:rsid w:val="0038019A"/>
    <w:rsid w:val="00380C78"/>
    <w:rsid w:val="003D7664"/>
    <w:rsid w:val="003E1A3B"/>
    <w:rsid w:val="00426535"/>
    <w:rsid w:val="00440E2D"/>
    <w:rsid w:val="004423B0"/>
    <w:rsid w:val="00464DBB"/>
    <w:rsid w:val="00476A81"/>
    <w:rsid w:val="00485133"/>
    <w:rsid w:val="0050306D"/>
    <w:rsid w:val="00512074"/>
    <w:rsid w:val="00515DF0"/>
    <w:rsid w:val="00535121"/>
    <w:rsid w:val="00555771"/>
    <w:rsid w:val="005944C6"/>
    <w:rsid w:val="005C1B10"/>
    <w:rsid w:val="005D13A3"/>
    <w:rsid w:val="005F7D78"/>
    <w:rsid w:val="00601156"/>
    <w:rsid w:val="006113A7"/>
    <w:rsid w:val="006547BE"/>
    <w:rsid w:val="006760BA"/>
    <w:rsid w:val="006814AC"/>
    <w:rsid w:val="0068718F"/>
    <w:rsid w:val="0069332C"/>
    <w:rsid w:val="006B6FA2"/>
    <w:rsid w:val="006D4E74"/>
    <w:rsid w:val="00711070"/>
    <w:rsid w:val="007204FC"/>
    <w:rsid w:val="0072627B"/>
    <w:rsid w:val="00750DDC"/>
    <w:rsid w:val="0076245E"/>
    <w:rsid w:val="0077634F"/>
    <w:rsid w:val="007A1985"/>
    <w:rsid w:val="00804188"/>
    <w:rsid w:val="00814C88"/>
    <w:rsid w:val="00816211"/>
    <w:rsid w:val="00825245"/>
    <w:rsid w:val="00837869"/>
    <w:rsid w:val="008471ED"/>
    <w:rsid w:val="00851D1A"/>
    <w:rsid w:val="00876CD0"/>
    <w:rsid w:val="00877030"/>
    <w:rsid w:val="0087794B"/>
    <w:rsid w:val="00885FF7"/>
    <w:rsid w:val="008A78FB"/>
    <w:rsid w:val="008C0916"/>
    <w:rsid w:val="008C5516"/>
    <w:rsid w:val="008F3A3F"/>
    <w:rsid w:val="008F6868"/>
    <w:rsid w:val="008F6E46"/>
    <w:rsid w:val="00954727"/>
    <w:rsid w:val="009D7146"/>
    <w:rsid w:val="00A1688E"/>
    <w:rsid w:val="00A239F8"/>
    <w:rsid w:val="00A57613"/>
    <w:rsid w:val="00AB156D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E4BAD"/>
    <w:rsid w:val="00BF1111"/>
    <w:rsid w:val="00BF12AC"/>
    <w:rsid w:val="00BF7B9E"/>
    <w:rsid w:val="00C03DF2"/>
    <w:rsid w:val="00C10FB2"/>
    <w:rsid w:val="00C23759"/>
    <w:rsid w:val="00C31714"/>
    <w:rsid w:val="00C55270"/>
    <w:rsid w:val="00C60516"/>
    <w:rsid w:val="00C779E5"/>
    <w:rsid w:val="00C8285A"/>
    <w:rsid w:val="00CA144A"/>
    <w:rsid w:val="00CF2906"/>
    <w:rsid w:val="00D512BE"/>
    <w:rsid w:val="00D6243A"/>
    <w:rsid w:val="00D676B0"/>
    <w:rsid w:val="00D80006"/>
    <w:rsid w:val="00DD1883"/>
    <w:rsid w:val="00DD5730"/>
    <w:rsid w:val="00DE65D9"/>
    <w:rsid w:val="00E05AAD"/>
    <w:rsid w:val="00E20B4E"/>
    <w:rsid w:val="00E27F6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73B8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1EAC-D289-4230-A8D2-290D24DA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3813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CPS Energy 022819</cp:lastModifiedBy>
  <cp:revision>3</cp:revision>
  <cp:lastPrinted>2008-03-31T16:56:00Z</cp:lastPrinted>
  <dcterms:created xsi:type="dcterms:W3CDTF">2019-05-14T21:01:00Z</dcterms:created>
  <dcterms:modified xsi:type="dcterms:W3CDTF">2019-05-14T21:07:00Z</dcterms:modified>
</cp:coreProperties>
</file>