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1140"/>
        <w:gridCol w:w="5036"/>
        <w:gridCol w:w="915"/>
        <w:gridCol w:w="3689"/>
      </w:tblGrid>
      <w:tr w:rsidR="00526C18" w:rsidRPr="0096024F" w:rsidTr="00526C18">
        <w:tc>
          <w:tcPr>
            <w:tcW w:w="529" w:type="pct"/>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526C18" w:rsidRPr="0096024F" w:rsidRDefault="00526C18" w:rsidP="0096024F">
            <w:pPr>
              <w:rPr>
                <w:rFonts w:eastAsia="Calibri"/>
                <w:b/>
                <w:bCs/>
                <w:color w:val="FFFFFF"/>
                <w:sz w:val="20"/>
                <w:szCs w:val="20"/>
              </w:rPr>
            </w:pPr>
            <w:r w:rsidRPr="0096024F">
              <w:rPr>
                <w:rFonts w:eastAsia="Calibri"/>
                <w:b/>
                <w:bCs/>
                <w:color w:val="FFFFFF"/>
                <w:sz w:val="20"/>
                <w:szCs w:val="20"/>
              </w:rPr>
              <w:t>REV REQ NO.</w:t>
            </w:r>
          </w:p>
        </w:tc>
        <w:tc>
          <w:tcPr>
            <w:tcW w:w="2336"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526C18" w:rsidRPr="0096024F" w:rsidRDefault="00526C18" w:rsidP="0096024F">
            <w:pPr>
              <w:rPr>
                <w:rFonts w:eastAsia="Calibri"/>
                <w:b/>
                <w:bCs/>
                <w:color w:val="FFFFFF"/>
                <w:sz w:val="20"/>
                <w:szCs w:val="20"/>
              </w:rPr>
            </w:pPr>
            <w:r w:rsidRPr="0096024F">
              <w:rPr>
                <w:rFonts w:eastAsia="Calibri"/>
                <w:b/>
                <w:bCs/>
                <w:color w:val="FFFFFF"/>
                <w:sz w:val="20"/>
                <w:szCs w:val="20"/>
              </w:rPr>
              <w:t>DESCRIPTION</w:t>
            </w:r>
          </w:p>
        </w:tc>
        <w:tc>
          <w:tcPr>
            <w:tcW w:w="424"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526C18" w:rsidRPr="0096024F" w:rsidRDefault="00526C18" w:rsidP="0096024F">
            <w:pPr>
              <w:jc w:val="center"/>
              <w:rPr>
                <w:rFonts w:eastAsia="Calibri"/>
                <w:b/>
                <w:bCs/>
                <w:color w:val="FFFFFF"/>
                <w:sz w:val="20"/>
                <w:szCs w:val="20"/>
              </w:rPr>
            </w:pPr>
            <w:r w:rsidRPr="0096024F">
              <w:rPr>
                <w:rFonts w:eastAsia="Calibri"/>
                <w:b/>
                <w:bCs/>
                <w:color w:val="FFFFFF"/>
                <w:sz w:val="20"/>
                <w:szCs w:val="20"/>
              </w:rPr>
              <w:t>URGENT</w:t>
            </w:r>
          </w:p>
        </w:tc>
        <w:tc>
          <w:tcPr>
            <w:tcW w:w="1711"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526C18" w:rsidRPr="0096024F" w:rsidRDefault="00526C18" w:rsidP="0096024F">
            <w:pPr>
              <w:rPr>
                <w:rFonts w:eastAsia="Calibri"/>
                <w:b/>
                <w:bCs/>
                <w:color w:val="FFFFFF"/>
                <w:sz w:val="20"/>
                <w:szCs w:val="20"/>
              </w:rPr>
            </w:pPr>
            <w:r w:rsidRPr="0096024F">
              <w:rPr>
                <w:rFonts w:eastAsia="Calibri"/>
                <w:b/>
                <w:bCs/>
                <w:color w:val="FFFFFF"/>
                <w:sz w:val="20"/>
                <w:szCs w:val="20"/>
              </w:rPr>
              <w:t>ERCOT Opinion</w:t>
            </w:r>
          </w:p>
        </w:tc>
      </w:tr>
      <w:tr w:rsidR="00526C18" w:rsidRPr="0096024F" w:rsidTr="00526C18">
        <w:tc>
          <w:tcPr>
            <w:tcW w:w="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6C18" w:rsidRDefault="00526C18" w:rsidP="00715A89">
            <w:pPr>
              <w:rPr>
                <w:b/>
                <w:bCs/>
                <w:sz w:val="20"/>
                <w:szCs w:val="20"/>
              </w:rPr>
            </w:pPr>
            <w:r>
              <w:rPr>
                <w:b/>
                <w:bCs/>
                <w:sz w:val="20"/>
                <w:szCs w:val="20"/>
              </w:rPr>
              <w:t>885NPRR</w:t>
            </w:r>
          </w:p>
        </w:tc>
        <w:tc>
          <w:tcPr>
            <w:tcW w:w="2336"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715A89">
            <w:pPr>
              <w:rPr>
                <w:b/>
                <w:bCs/>
                <w:sz w:val="20"/>
                <w:szCs w:val="20"/>
              </w:rPr>
            </w:pPr>
            <w:r>
              <w:rPr>
                <w:b/>
                <w:bCs/>
                <w:sz w:val="20"/>
                <w:szCs w:val="20"/>
              </w:rPr>
              <w:t xml:space="preserve">Must-Run Alternative (MRA) Details and Revisions Resulting from PUCT Project No. 46369, Rulemaking Relating to Reliability Must-Run Service.  </w:t>
            </w:r>
            <w:r>
              <w:rPr>
                <w:sz w:val="20"/>
                <w:szCs w:val="20"/>
              </w:rPr>
              <w:t>This NPRR incorporates a number of revisions to address changes by the Public Utility Commission of Texas (PUCT) to P.U.C. SUBST. R. 25.502, Pricing Safeguards in Markets Operated by the Electric Reliability Council of Texas, in PUCT Project No. 46369, Rulemaking Relating to Reliability Must-Run Service (RMR).  More specifically, this NPRR proposes new Protocol language to address numerous issues related to the solicitation and operation of Must-Run Alternative (MRA) Service.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715A89">
            <w:pPr>
              <w:jc w:val="center"/>
              <w:rPr>
                <w:sz w:val="20"/>
                <w:szCs w:val="20"/>
              </w:rPr>
            </w:pPr>
            <w:r>
              <w:rPr>
                <w:sz w:val="20"/>
                <w:szCs w:val="20"/>
              </w:rPr>
              <w:t>N</w:t>
            </w:r>
          </w:p>
        </w:tc>
        <w:tc>
          <w:tcPr>
            <w:tcW w:w="1711"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2B44A3">
            <w:pPr>
              <w:rPr>
                <w:sz w:val="20"/>
                <w:szCs w:val="20"/>
              </w:rPr>
            </w:pPr>
            <w:r>
              <w:rPr>
                <w:sz w:val="20"/>
                <w:szCs w:val="20"/>
              </w:rPr>
              <w:t>ERC</w:t>
            </w:r>
            <w:r w:rsidR="002B44A3">
              <w:rPr>
                <w:sz w:val="20"/>
                <w:szCs w:val="20"/>
              </w:rPr>
              <w:t>OT supports approval of NPRR885.</w:t>
            </w:r>
          </w:p>
        </w:tc>
      </w:tr>
      <w:tr w:rsidR="00526C18" w:rsidRPr="0096024F" w:rsidTr="00526C18">
        <w:tc>
          <w:tcPr>
            <w:tcW w:w="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6C18" w:rsidRDefault="00526C18" w:rsidP="00715A89">
            <w:pPr>
              <w:rPr>
                <w:b/>
                <w:bCs/>
                <w:sz w:val="20"/>
                <w:szCs w:val="20"/>
              </w:rPr>
            </w:pPr>
            <w:r>
              <w:rPr>
                <w:b/>
                <w:bCs/>
                <w:sz w:val="20"/>
                <w:szCs w:val="20"/>
              </w:rPr>
              <w:t>896NPRR</w:t>
            </w:r>
          </w:p>
        </w:tc>
        <w:tc>
          <w:tcPr>
            <w:tcW w:w="2336"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715A89">
            <w:pPr>
              <w:rPr>
                <w:b/>
                <w:bCs/>
                <w:sz w:val="20"/>
                <w:szCs w:val="20"/>
              </w:rPr>
            </w:pPr>
            <w:r>
              <w:rPr>
                <w:b/>
                <w:bCs/>
                <w:sz w:val="20"/>
                <w:szCs w:val="20"/>
              </w:rPr>
              <w:t xml:space="preserve">Reliability Must-Run and Must-Run Alternative Evaluation Process.  </w:t>
            </w:r>
            <w:r>
              <w:rPr>
                <w:sz w:val="20"/>
                <w:szCs w:val="20"/>
              </w:rPr>
              <w:t>This Nodal Protocol Revision Request (NPRR) outlines the process ERCOT will use to evaluate the cost-effectiveness of procuring Reliability Must-Run (RMR) Service or one or more Must-Run Alternatives (MRAs).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715A89">
            <w:pPr>
              <w:jc w:val="center"/>
              <w:rPr>
                <w:sz w:val="20"/>
                <w:szCs w:val="20"/>
              </w:rPr>
            </w:pPr>
            <w:r>
              <w:rPr>
                <w:sz w:val="20"/>
                <w:szCs w:val="20"/>
              </w:rPr>
              <w:t>N</w:t>
            </w:r>
          </w:p>
        </w:tc>
        <w:tc>
          <w:tcPr>
            <w:tcW w:w="1711"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2B44A3">
            <w:pPr>
              <w:rPr>
                <w:sz w:val="20"/>
                <w:szCs w:val="20"/>
              </w:rPr>
            </w:pPr>
            <w:r>
              <w:rPr>
                <w:sz w:val="20"/>
                <w:szCs w:val="20"/>
              </w:rPr>
              <w:t>ERC</w:t>
            </w:r>
            <w:r w:rsidR="002B44A3">
              <w:rPr>
                <w:sz w:val="20"/>
                <w:szCs w:val="20"/>
              </w:rPr>
              <w:t>OT supports approval of NPRR896.</w:t>
            </w:r>
          </w:p>
        </w:tc>
      </w:tr>
      <w:tr w:rsidR="00526C18" w:rsidTr="00526C18">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rPr>
                <w:b/>
                <w:bCs/>
                <w:color w:val="000000"/>
                <w:sz w:val="20"/>
                <w:szCs w:val="20"/>
              </w:rPr>
            </w:pPr>
            <w:r>
              <w:rPr>
                <w:b/>
                <w:bCs/>
                <w:color w:val="000000"/>
                <w:sz w:val="20"/>
                <w:szCs w:val="20"/>
              </w:rPr>
              <w:t>917NPRR</w:t>
            </w:r>
          </w:p>
        </w:tc>
        <w:tc>
          <w:tcPr>
            <w:tcW w:w="2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rPr>
                <w:b/>
                <w:bCs/>
                <w:color w:val="000000"/>
                <w:sz w:val="20"/>
                <w:szCs w:val="20"/>
              </w:rPr>
            </w:pPr>
            <w:r>
              <w:rPr>
                <w:b/>
                <w:bCs/>
                <w:color w:val="000000"/>
                <w:sz w:val="20"/>
                <w:szCs w:val="20"/>
              </w:rPr>
              <w:t xml:space="preserve">Nodal Pricing for Settlement Only Distribution Generators (SODGs) and Settlement Only Transmission Generators (SOTGs).  </w:t>
            </w:r>
            <w:r w:rsidRPr="005A278D">
              <w:rPr>
                <w:bCs/>
                <w:color w:val="000000"/>
                <w:sz w:val="20"/>
                <w:szCs w:val="20"/>
              </w:rPr>
              <w:t>This Nodal Protocol Revision Request (NPRR) implements nodal energy pricing, instead of the current zonal energy pricing, for Settlement Only Distribution Generators (SODGs) and Settlement Only Transmission Generators (SOTGs).  For an SODG, the energy price used as the basis for the 15-minute Real-Time price calculation is the price at the Electrical Bus associated with the mapped Load of the SODG in the Network Operations Model.  For an SOTG, the energy price used as the basis for the 15-minute Real-Time price calculation is the time-weighted price at the Electrical Bus as determined by ERCOT in review of the meter location of the SOTG in the Network Operations Model.  [ERCOT]</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jc w:val="center"/>
              <w:rPr>
                <w:color w:val="000000"/>
                <w:sz w:val="20"/>
                <w:szCs w:val="20"/>
              </w:rPr>
            </w:pPr>
            <w:r>
              <w:rPr>
                <w:color w:val="000000"/>
                <w:sz w:val="20"/>
                <w:szCs w:val="20"/>
              </w:rPr>
              <w:t>N</w:t>
            </w:r>
          </w:p>
        </w:tc>
        <w:tc>
          <w:tcPr>
            <w:tcW w:w="17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2B44A3">
            <w:pPr>
              <w:rPr>
                <w:sz w:val="20"/>
                <w:szCs w:val="20"/>
              </w:rPr>
            </w:pPr>
            <w:r>
              <w:rPr>
                <w:sz w:val="20"/>
                <w:szCs w:val="20"/>
              </w:rPr>
              <w:t>ERC</w:t>
            </w:r>
            <w:r w:rsidR="002B44A3">
              <w:rPr>
                <w:sz w:val="20"/>
                <w:szCs w:val="20"/>
              </w:rPr>
              <w:t>OT supports approval of NPRR917.</w:t>
            </w:r>
          </w:p>
        </w:tc>
      </w:tr>
      <w:tr w:rsidR="00526C18" w:rsidRPr="0096024F" w:rsidTr="00526C18">
        <w:tc>
          <w:tcPr>
            <w:tcW w:w="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6C18" w:rsidRDefault="00526C18" w:rsidP="00715A89">
            <w:pPr>
              <w:rPr>
                <w:b/>
                <w:bCs/>
                <w:color w:val="000000"/>
                <w:sz w:val="20"/>
                <w:szCs w:val="20"/>
              </w:rPr>
            </w:pPr>
            <w:r>
              <w:rPr>
                <w:b/>
                <w:bCs/>
                <w:color w:val="000000"/>
                <w:sz w:val="20"/>
                <w:szCs w:val="20"/>
              </w:rPr>
              <w:t>923NPRR</w:t>
            </w:r>
          </w:p>
        </w:tc>
        <w:tc>
          <w:tcPr>
            <w:tcW w:w="2336"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715A89">
            <w:pPr>
              <w:rPr>
                <w:color w:val="000000"/>
                <w:sz w:val="20"/>
                <w:szCs w:val="20"/>
              </w:rPr>
            </w:pPr>
            <w:r>
              <w:rPr>
                <w:b/>
                <w:bCs/>
                <w:color w:val="000000"/>
                <w:sz w:val="20"/>
                <w:szCs w:val="20"/>
              </w:rPr>
              <w:t>Revision to Weather Responsiveness Determination Process</w:t>
            </w:r>
            <w:r>
              <w:rPr>
                <w:color w:val="000000"/>
                <w:sz w:val="20"/>
                <w:szCs w:val="20"/>
              </w:rPr>
              <w:t>.  This Nodal Protocol Revision Request (NPRR) updates the weather sensitivity process by allowing Transmission and/or Distribution Service Providers (TDSPs) an additional 30 days to complete investigation and execution of the request to revise the Load Profile for a BUSIDRRQ Electric Service Identifier (ESI ID).  [PWG]</w:t>
            </w:r>
          </w:p>
        </w:tc>
        <w:tc>
          <w:tcPr>
            <w:tcW w:w="424"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715A89">
            <w:pPr>
              <w:jc w:val="center"/>
              <w:rPr>
                <w:color w:val="000000"/>
                <w:sz w:val="20"/>
                <w:szCs w:val="20"/>
              </w:rPr>
            </w:pPr>
            <w:r>
              <w:rPr>
                <w:color w:val="000000"/>
                <w:sz w:val="20"/>
                <w:szCs w:val="20"/>
              </w:rPr>
              <w:t>N</w:t>
            </w:r>
          </w:p>
        </w:tc>
        <w:tc>
          <w:tcPr>
            <w:tcW w:w="1711"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715A89">
            <w:pPr>
              <w:rPr>
                <w:color w:val="000000"/>
                <w:sz w:val="20"/>
                <w:szCs w:val="20"/>
              </w:rPr>
            </w:pPr>
            <w:r w:rsidRPr="00526C18">
              <w:rPr>
                <w:color w:val="000000"/>
                <w:sz w:val="20"/>
                <w:szCs w:val="20"/>
              </w:rPr>
              <w:t>ERCOT supports Market Participants’ decision on NPRR923 as it relaxes the timing requirements for TDSPs to complete the weather sensitivity process without negatively impacting Settlement for BUSIDRRQ ESI IDs.</w:t>
            </w:r>
          </w:p>
        </w:tc>
      </w:tr>
      <w:tr w:rsidR="00526C18" w:rsidRPr="0096024F" w:rsidTr="00526C18">
        <w:tc>
          <w:tcPr>
            <w:tcW w:w="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6C18" w:rsidRDefault="00526C18" w:rsidP="00715A89">
            <w:pPr>
              <w:rPr>
                <w:b/>
                <w:bCs/>
                <w:color w:val="000000"/>
                <w:sz w:val="20"/>
                <w:szCs w:val="20"/>
              </w:rPr>
            </w:pPr>
            <w:r>
              <w:rPr>
                <w:b/>
                <w:bCs/>
                <w:color w:val="000000"/>
                <w:sz w:val="20"/>
                <w:szCs w:val="20"/>
              </w:rPr>
              <w:t>924NPRR</w:t>
            </w:r>
          </w:p>
        </w:tc>
        <w:tc>
          <w:tcPr>
            <w:tcW w:w="2336"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715A89">
            <w:pPr>
              <w:rPr>
                <w:color w:val="000000"/>
                <w:sz w:val="20"/>
                <w:szCs w:val="20"/>
              </w:rPr>
            </w:pPr>
            <w:r>
              <w:rPr>
                <w:b/>
                <w:bCs/>
                <w:color w:val="000000"/>
                <w:sz w:val="20"/>
                <w:szCs w:val="20"/>
              </w:rPr>
              <w:t>Addition of Form to Section 23 – Independent Market Information System Registered Entity (IMRE) Application for Registration</w:t>
            </w:r>
            <w:r>
              <w:rPr>
                <w:color w:val="000000"/>
                <w:sz w:val="20"/>
                <w:szCs w:val="20"/>
              </w:rPr>
              <w:t>.  This Nodal Protocol Revision Request (NPRR) moves the Independent Market Information System Registered Entity (IMRE) Application for Registration form into Section 23 of the Nodal Protocols, which houses similar forms.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715A89">
            <w:pPr>
              <w:jc w:val="center"/>
              <w:rPr>
                <w:color w:val="000000"/>
                <w:sz w:val="20"/>
                <w:szCs w:val="20"/>
              </w:rPr>
            </w:pPr>
            <w:r>
              <w:rPr>
                <w:color w:val="000000"/>
                <w:sz w:val="20"/>
                <w:szCs w:val="20"/>
              </w:rPr>
              <w:t>N</w:t>
            </w:r>
          </w:p>
        </w:tc>
        <w:tc>
          <w:tcPr>
            <w:tcW w:w="1711" w:type="pct"/>
            <w:tcBorders>
              <w:top w:val="nil"/>
              <w:left w:val="nil"/>
              <w:bottom w:val="single" w:sz="8" w:space="0" w:color="auto"/>
              <w:right w:val="single" w:sz="8" w:space="0" w:color="auto"/>
            </w:tcBorders>
            <w:tcMar>
              <w:top w:w="0" w:type="dxa"/>
              <w:left w:w="108" w:type="dxa"/>
              <w:bottom w:w="0" w:type="dxa"/>
              <w:right w:w="108" w:type="dxa"/>
            </w:tcMar>
          </w:tcPr>
          <w:p w:rsidR="00526C18" w:rsidRDefault="00526C18" w:rsidP="002B44A3">
            <w:pPr>
              <w:rPr>
                <w:sz w:val="20"/>
                <w:szCs w:val="20"/>
              </w:rPr>
            </w:pPr>
            <w:r>
              <w:rPr>
                <w:sz w:val="20"/>
                <w:szCs w:val="20"/>
              </w:rPr>
              <w:t>ERC</w:t>
            </w:r>
            <w:r w:rsidR="002B44A3">
              <w:rPr>
                <w:sz w:val="20"/>
                <w:szCs w:val="20"/>
              </w:rPr>
              <w:t>OT supports approval of NPRR924.</w:t>
            </w:r>
          </w:p>
        </w:tc>
      </w:tr>
      <w:tr w:rsidR="00526C18" w:rsidTr="00526C18">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rPr>
                <w:b/>
                <w:bCs/>
                <w:color w:val="000000"/>
                <w:sz w:val="20"/>
                <w:szCs w:val="20"/>
              </w:rPr>
            </w:pPr>
            <w:r>
              <w:rPr>
                <w:b/>
                <w:bCs/>
                <w:color w:val="000000"/>
                <w:sz w:val="20"/>
                <w:szCs w:val="20"/>
              </w:rPr>
              <w:t>926NPRR</w:t>
            </w:r>
          </w:p>
        </w:tc>
        <w:tc>
          <w:tcPr>
            <w:tcW w:w="2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Pr="005A278D" w:rsidRDefault="00526C18" w:rsidP="00B64D5A">
            <w:pPr>
              <w:rPr>
                <w:b/>
                <w:bCs/>
                <w:color w:val="000000"/>
                <w:sz w:val="20"/>
                <w:szCs w:val="20"/>
              </w:rPr>
            </w:pPr>
            <w:r>
              <w:rPr>
                <w:b/>
                <w:bCs/>
                <w:color w:val="000000"/>
                <w:sz w:val="20"/>
                <w:szCs w:val="20"/>
              </w:rPr>
              <w:t>Removal of 90-Day Period Between SSR Study Approval and Synchronization.</w:t>
            </w:r>
            <w:r w:rsidRPr="005A278D">
              <w:rPr>
                <w:bCs/>
                <w:color w:val="000000"/>
                <w:sz w:val="20"/>
                <w:szCs w:val="20"/>
              </w:rPr>
              <w:t xml:space="preserve">  This Nodal Protocol Revision Request (NPRR) removes the 90-day period between </w:t>
            </w:r>
            <w:proofErr w:type="spellStart"/>
            <w:r w:rsidRPr="005A278D">
              <w:rPr>
                <w:bCs/>
                <w:color w:val="000000"/>
                <w:sz w:val="20"/>
                <w:szCs w:val="20"/>
              </w:rPr>
              <w:t>Subsynchronous</w:t>
            </w:r>
            <w:proofErr w:type="spellEnd"/>
            <w:r w:rsidRPr="005A278D">
              <w:rPr>
                <w:bCs/>
                <w:color w:val="000000"/>
                <w:sz w:val="20"/>
                <w:szCs w:val="20"/>
              </w:rPr>
              <w:t xml:space="preserve"> Resonance (SSR) study approval and Initial Synchronization specified in paragraph (4) of Section 16.5, Registration of a Resource Entity, clarifies that the SSR Mitigation Plan is part of the SSR study, and adds an </w:t>
            </w:r>
            <w:r w:rsidRPr="005A278D">
              <w:rPr>
                <w:bCs/>
                <w:color w:val="000000"/>
                <w:sz w:val="20"/>
                <w:szCs w:val="20"/>
              </w:rPr>
              <w:lastRenderedPageBreak/>
              <w:t>ERCOT review process for the SSR study (with any required mitigation plan) including 30 business days for the study to be approved by ERCOT.  This NPRR also adds a 45 business day time period from SSR study approval for ERCOT to implement any required SSR Monitoring.  [ERCOT]</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jc w:val="center"/>
              <w:rPr>
                <w:color w:val="000000"/>
                <w:sz w:val="20"/>
                <w:szCs w:val="20"/>
              </w:rPr>
            </w:pPr>
            <w:r>
              <w:rPr>
                <w:color w:val="000000"/>
                <w:sz w:val="20"/>
                <w:szCs w:val="20"/>
              </w:rPr>
              <w:lastRenderedPageBreak/>
              <w:t>N</w:t>
            </w:r>
          </w:p>
        </w:tc>
        <w:tc>
          <w:tcPr>
            <w:tcW w:w="17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2B44A3">
            <w:pPr>
              <w:rPr>
                <w:sz w:val="20"/>
                <w:szCs w:val="20"/>
              </w:rPr>
            </w:pPr>
            <w:r>
              <w:rPr>
                <w:sz w:val="20"/>
                <w:szCs w:val="20"/>
              </w:rPr>
              <w:t>ERC</w:t>
            </w:r>
            <w:r w:rsidR="002B44A3">
              <w:rPr>
                <w:sz w:val="20"/>
                <w:szCs w:val="20"/>
              </w:rPr>
              <w:t>OT supports approval of NPRR926.</w:t>
            </w:r>
          </w:p>
        </w:tc>
      </w:tr>
      <w:tr w:rsidR="00526C18" w:rsidTr="00526C18">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rPr>
                <w:b/>
                <w:bCs/>
                <w:color w:val="000000"/>
                <w:sz w:val="20"/>
                <w:szCs w:val="20"/>
              </w:rPr>
            </w:pPr>
            <w:r>
              <w:rPr>
                <w:b/>
                <w:bCs/>
                <w:color w:val="000000"/>
                <w:sz w:val="20"/>
                <w:szCs w:val="20"/>
              </w:rPr>
              <w:t>929NPRR</w:t>
            </w:r>
          </w:p>
        </w:tc>
        <w:tc>
          <w:tcPr>
            <w:tcW w:w="2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rPr>
                <w:b/>
                <w:bCs/>
                <w:color w:val="000000"/>
                <w:sz w:val="20"/>
                <w:szCs w:val="20"/>
              </w:rPr>
            </w:pPr>
            <w:r>
              <w:rPr>
                <w:b/>
                <w:bCs/>
                <w:color w:val="000000"/>
                <w:sz w:val="20"/>
                <w:szCs w:val="20"/>
              </w:rPr>
              <w:t xml:space="preserve">PTP Obligations with Links to an Option DAM Award Eligibility. </w:t>
            </w:r>
            <w:r w:rsidRPr="005A278D">
              <w:rPr>
                <w:b/>
                <w:bCs/>
                <w:color w:val="000000"/>
                <w:sz w:val="20"/>
                <w:szCs w:val="20"/>
              </w:rPr>
              <w:t> </w:t>
            </w:r>
            <w:r w:rsidRPr="005A278D">
              <w:rPr>
                <w:bCs/>
                <w:color w:val="000000"/>
                <w:sz w:val="20"/>
                <w:szCs w:val="20"/>
              </w:rPr>
              <w:t>This Nodal Protocol Revision Request (NPRR) proposes new criteria for determining whether a Point-to-Point (PTP) Obligation with Links to an Option bid is eligible to be awarded based on the Current Operating Plan (COP) Status of the Resource at the Resource Node where the bid sources. Such a bid will not be eligible for award if it sources at a Resource with a COP Status of OUT, or a COP Status of OFF and the Resource is not offered into the Day-Ahead Market (DAM).  [LCRA, Reliant, STEC, Direct Energy, Austin Energy, CPS Energy]</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jc w:val="center"/>
              <w:rPr>
                <w:color w:val="000000"/>
                <w:sz w:val="20"/>
                <w:szCs w:val="20"/>
              </w:rPr>
            </w:pPr>
            <w:r>
              <w:rPr>
                <w:color w:val="000000"/>
                <w:sz w:val="20"/>
                <w:szCs w:val="20"/>
              </w:rPr>
              <w:t>N</w:t>
            </w:r>
          </w:p>
        </w:tc>
        <w:tc>
          <w:tcPr>
            <w:tcW w:w="17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Pr="005A278D" w:rsidRDefault="00526C18" w:rsidP="00B64D5A">
            <w:pPr>
              <w:rPr>
                <w:sz w:val="20"/>
                <w:szCs w:val="20"/>
              </w:rPr>
            </w:pPr>
            <w:r w:rsidRPr="005A278D">
              <w:rPr>
                <w:sz w:val="20"/>
                <w:szCs w:val="20"/>
              </w:rPr>
              <w:t>ERCOT supports Market Participants’ decision re</w:t>
            </w:r>
            <w:r>
              <w:rPr>
                <w:sz w:val="20"/>
                <w:szCs w:val="20"/>
              </w:rPr>
              <w:t>garding</w:t>
            </w:r>
            <w:r w:rsidRPr="005A278D">
              <w:rPr>
                <w:sz w:val="20"/>
                <w:szCs w:val="20"/>
              </w:rPr>
              <w:t xml:space="preserve"> NPRR929 as it will </w:t>
            </w:r>
            <w:r>
              <w:rPr>
                <w:sz w:val="20"/>
                <w:szCs w:val="20"/>
              </w:rPr>
              <w:t>reduce</w:t>
            </w:r>
            <w:r w:rsidRPr="005A278D">
              <w:rPr>
                <w:sz w:val="20"/>
                <w:szCs w:val="20"/>
              </w:rPr>
              <w:t xml:space="preserve"> RENA imbalances caused by PTP Obligations with Links to Options</w:t>
            </w:r>
          </w:p>
        </w:tc>
      </w:tr>
      <w:tr w:rsidR="00526C18" w:rsidTr="00526C18">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Pr="005A278D" w:rsidRDefault="00526C18" w:rsidP="00B64D5A">
            <w:pPr>
              <w:rPr>
                <w:b/>
                <w:bCs/>
                <w:color w:val="000000"/>
                <w:sz w:val="20"/>
                <w:szCs w:val="20"/>
              </w:rPr>
            </w:pPr>
            <w:r>
              <w:rPr>
                <w:b/>
                <w:bCs/>
                <w:color w:val="000000"/>
                <w:sz w:val="20"/>
                <w:szCs w:val="20"/>
              </w:rPr>
              <w:t>799SCR</w:t>
            </w:r>
          </w:p>
        </w:tc>
        <w:tc>
          <w:tcPr>
            <w:tcW w:w="2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Pr="005A278D" w:rsidRDefault="00526C18" w:rsidP="00B64D5A">
            <w:pPr>
              <w:rPr>
                <w:b/>
                <w:bCs/>
                <w:color w:val="000000"/>
                <w:sz w:val="20"/>
                <w:szCs w:val="20"/>
              </w:rPr>
            </w:pPr>
            <w:r>
              <w:rPr>
                <w:b/>
                <w:bCs/>
                <w:color w:val="000000"/>
                <w:sz w:val="20"/>
                <w:szCs w:val="20"/>
              </w:rPr>
              <w:t>ERCOT Outage Study Cases in the System Operations Test Environment (SOTE).</w:t>
            </w:r>
            <w:r w:rsidRPr="005A278D">
              <w:rPr>
                <w:bCs/>
                <w:color w:val="000000"/>
                <w:sz w:val="20"/>
                <w:szCs w:val="20"/>
              </w:rPr>
              <w:t>  With this System Change Request (SCR), ERCOT would provide its current month, 60 day, and 90 day Outage study cases in the System Operations Test Environment (SOTE) on a monthly basis for Transmission Service Providers (TSPs).  [</w:t>
            </w:r>
            <w:proofErr w:type="spellStart"/>
            <w:r w:rsidRPr="005A278D">
              <w:rPr>
                <w:bCs/>
                <w:color w:val="000000"/>
                <w:sz w:val="20"/>
                <w:szCs w:val="20"/>
              </w:rPr>
              <w:t>Oncor</w:t>
            </w:r>
            <w:proofErr w:type="spellEnd"/>
            <w:r w:rsidRPr="005A278D">
              <w:rPr>
                <w:bCs/>
                <w:color w:val="000000"/>
                <w:sz w:val="20"/>
                <w:szCs w:val="20"/>
              </w:rPr>
              <w:t>]</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jc w:val="center"/>
              <w:rPr>
                <w:color w:val="000000"/>
                <w:sz w:val="20"/>
                <w:szCs w:val="20"/>
              </w:rPr>
            </w:pPr>
            <w:r>
              <w:rPr>
                <w:color w:val="000000"/>
                <w:sz w:val="20"/>
                <w:szCs w:val="20"/>
              </w:rPr>
              <w:t>N</w:t>
            </w:r>
          </w:p>
        </w:tc>
        <w:tc>
          <w:tcPr>
            <w:tcW w:w="17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rPr>
                <w:sz w:val="20"/>
                <w:szCs w:val="20"/>
              </w:rPr>
            </w:pPr>
            <w:r w:rsidRPr="00526C18">
              <w:rPr>
                <w:sz w:val="20"/>
                <w:szCs w:val="20"/>
              </w:rPr>
              <w:t>ERCOT supports Market Participants’ decision on SCR799 as it would improve the coordination of Outages and streamline related market processes.</w:t>
            </w:r>
          </w:p>
        </w:tc>
      </w:tr>
      <w:tr w:rsidR="00526C18" w:rsidRPr="0096024F" w:rsidTr="00526C18">
        <w:tc>
          <w:tcPr>
            <w:tcW w:w="529"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526C18" w:rsidRDefault="00526C18" w:rsidP="00715A89">
            <w:pPr>
              <w:rPr>
                <w:b/>
                <w:bCs/>
                <w:color w:val="000000"/>
                <w:sz w:val="20"/>
                <w:szCs w:val="20"/>
              </w:rPr>
            </w:pPr>
            <w:r>
              <w:rPr>
                <w:b/>
                <w:bCs/>
                <w:color w:val="000000"/>
                <w:sz w:val="20"/>
                <w:szCs w:val="20"/>
              </w:rPr>
              <w:t>921NPRR</w:t>
            </w:r>
          </w:p>
        </w:tc>
        <w:tc>
          <w:tcPr>
            <w:tcW w:w="2336" w:type="pct"/>
            <w:tcBorders>
              <w:top w:val="nil"/>
              <w:left w:val="nil"/>
              <w:bottom w:val="single" w:sz="4" w:space="0" w:color="auto"/>
              <w:right w:val="single" w:sz="8" w:space="0" w:color="auto"/>
            </w:tcBorders>
            <w:tcMar>
              <w:top w:w="0" w:type="dxa"/>
              <w:left w:w="108" w:type="dxa"/>
              <w:bottom w:w="0" w:type="dxa"/>
              <w:right w:w="108" w:type="dxa"/>
            </w:tcMar>
          </w:tcPr>
          <w:p w:rsidR="00526C18" w:rsidRDefault="00526C18" w:rsidP="00526C18">
            <w:pPr>
              <w:rPr>
                <w:b/>
                <w:bCs/>
                <w:color w:val="000000"/>
                <w:sz w:val="20"/>
                <w:szCs w:val="20"/>
              </w:rPr>
            </w:pPr>
            <w:r>
              <w:rPr>
                <w:b/>
                <w:bCs/>
                <w:color w:val="000000"/>
                <w:sz w:val="20"/>
                <w:szCs w:val="20"/>
              </w:rPr>
              <w:t>RTF-2 Elimination of the Terms All-Inclusive Generation Resource and All-Inclusive Resource</w:t>
            </w:r>
            <w:r>
              <w:rPr>
                <w:b/>
                <w:bCs/>
                <w:color w:val="000000"/>
                <w:sz w:val="20"/>
                <w:szCs w:val="20"/>
              </w:rPr>
              <w:t xml:space="preserve">.   </w:t>
            </w:r>
            <w:r w:rsidRPr="00526C18">
              <w:rPr>
                <w:color w:val="000000"/>
                <w:sz w:val="20"/>
                <w:szCs w:val="20"/>
              </w:rPr>
              <w:t xml:space="preserve">This Nodal Protocol Revision Request (NPRR) replaces all instances of the terms All-Inclusive Generation Resource and All-Inclusive Resource with appropriate terms from Section 2.1. </w:t>
            </w:r>
            <w:r>
              <w:rPr>
                <w:color w:val="000000"/>
                <w:sz w:val="20"/>
                <w:szCs w:val="20"/>
              </w:rPr>
              <w:t>[ERCOT]</w:t>
            </w:r>
          </w:p>
        </w:tc>
        <w:tc>
          <w:tcPr>
            <w:tcW w:w="424" w:type="pct"/>
            <w:tcBorders>
              <w:top w:val="nil"/>
              <w:left w:val="nil"/>
              <w:bottom w:val="single" w:sz="4" w:space="0" w:color="auto"/>
              <w:right w:val="single" w:sz="8" w:space="0" w:color="auto"/>
            </w:tcBorders>
            <w:tcMar>
              <w:top w:w="0" w:type="dxa"/>
              <w:left w:w="108" w:type="dxa"/>
              <w:bottom w:w="0" w:type="dxa"/>
              <w:right w:w="108" w:type="dxa"/>
            </w:tcMar>
          </w:tcPr>
          <w:p w:rsidR="00526C18" w:rsidRDefault="00526C18" w:rsidP="00715A89">
            <w:pPr>
              <w:jc w:val="center"/>
              <w:rPr>
                <w:color w:val="000000"/>
                <w:sz w:val="20"/>
                <w:szCs w:val="20"/>
              </w:rPr>
            </w:pPr>
            <w:r>
              <w:rPr>
                <w:color w:val="000000"/>
                <w:sz w:val="20"/>
                <w:szCs w:val="20"/>
              </w:rPr>
              <w:t>N</w:t>
            </w:r>
          </w:p>
        </w:tc>
        <w:tc>
          <w:tcPr>
            <w:tcW w:w="1711" w:type="pct"/>
            <w:tcBorders>
              <w:top w:val="nil"/>
              <w:left w:val="nil"/>
              <w:bottom w:val="single" w:sz="4" w:space="0" w:color="auto"/>
              <w:right w:val="single" w:sz="8" w:space="0" w:color="auto"/>
            </w:tcBorders>
            <w:tcMar>
              <w:top w:w="0" w:type="dxa"/>
              <w:left w:w="108" w:type="dxa"/>
              <w:bottom w:w="0" w:type="dxa"/>
              <w:right w:w="108" w:type="dxa"/>
            </w:tcMar>
          </w:tcPr>
          <w:p w:rsidR="00526C18" w:rsidRDefault="00526C18" w:rsidP="002B44A3">
            <w:pPr>
              <w:rPr>
                <w:sz w:val="20"/>
                <w:szCs w:val="20"/>
              </w:rPr>
            </w:pPr>
            <w:r>
              <w:rPr>
                <w:sz w:val="20"/>
                <w:szCs w:val="20"/>
              </w:rPr>
              <w:t xml:space="preserve">ERCOT supports approval of </w:t>
            </w:r>
            <w:r w:rsidR="002B44A3">
              <w:rPr>
                <w:sz w:val="20"/>
                <w:szCs w:val="20"/>
              </w:rPr>
              <w:t>NPRR921.</w:t>
            </w:r>
          </w:p>
        </w:tc>
      </w:tr>
      <w:tr w:rsidR="00526C18" w:rsidRPr="0096024F" w:rsidTr="00526C18">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rPr>
                <w:b/>
                <w:bCs/>
                <w:color w:val="000000"/>
                <w:sz w:val="20"/>
                <w:szCs w:val="20"/>
              </w:rPr>
            </w:pPr>
            <w:r>
              <w:rPr>
                <w:b/>
                <w:bCs/>
                <w:color w:val="000000"/>
                <w:sz w:val="20"/>
                <w:szCs w:val="20"/>
              </w:rPr>
              <w:t>013OBDRR</w:t>
            </w:r>
          </w:p>
        </w:tc>
        <w:tc>
          <w:tcPr>
            <w:tcW w:w="2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rPr>
                <w:color w:val="000000"/>
                <w:sz w:val="20"/>
                <w:szCs w:val="20"/>
              </w:rPr>
            </w:pPr>
            <w:r>
              <w:rPr>
                <w:b/>
                <w:bCs/>
                <w:color w:val="000000"/>
                <w:sz w:val="20"/>
                <w:szCs w:val="20"/>
              </w:rPr>
              <w:t>Change to the Voltage Levels of Generic Transmission Shadow Prices Caps.</w:t>
            </w:r>
            <w:r>
              <w:rPr>
                <w:color w:val="000000"/>
                <w:sz w:val="20"/>
                <w:szCs w:val="20"/>
              </w:rPr>
              <w:t>   This Other Binding Document Revision Request (OBDRR) revises the voltage levels used to define Generic Transmission Shadow Price Caps for N-1 Constraint Violations in Section 3.5, Generic Values for the Transmission Network System-Wide Shadow Price Caps in SCED. The current, single-value categories of 345 kV, 138 kV, and 69 kV are changed to kV ranges to accommodate transmission equipment that would not directly fall into the three existing categories.  [ERCOT]</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jc w:val="center"/>
              <w:rPr>
                <w:color w:val="000000"/>
                <w:sz w:val="20"/>
                <w:szCs w:val="20"/>
              </w:rPr>
            </w:pPr>
            <w:r>
              <w:rPr>
                <w:color w:val="000000"/>
                <w:sz w:val="20"/>
                <w:szCs w:val="20"/>
              </w:rPr>
              <w:t>N</w:t>
            </w:r>
          </w:p>
        </w:tc>
        <w:tc>
          <w:tcPr>
            <w:tcW w:w="17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2B44A3">
            <w:pPr>
              <w:rPr>
                <w:sz w:val="20"/>
                <w:szCs w:val="20"/>
              </w:rPr>
            </w:pPr>
            <w:r>
              <w:rPr>
                <w:sz w:val="20"/>
                <w:szCs w:val="20"/>
              </w:rPr>
              <w:t>ERCO</w:t>
            </w:r>
            <w:r w:rsidR="002B44A3">
              <w:rPr>
                <w:sz w:val="20"/>
                <w:szCs w:val="20"/>
              </w:rPr>
              <w:t>T supports approval of OBDRR013.</w:t>
            </w:r>
          </w:p>
        </w:tc>
      </w:tr>
      <w:tr w:rsidR="00526C18" w:rsidRPr="0096024F" w:rsidTr="00526C18">
        <w:tc>
          <w:tcPr>
            <w:tcW w:w="529"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526C18" w:rsidRDefault="00526C18" w:rsidP="00715A89">
            <w:pPr>
              <w:rPr>
                <w:b/>
                <w:bCs/>
                <w:color w:val="000000"/>
                <w:sz w:val="20"/>
                <w:szCs w:val="20"/>
              </w:rPr>
            </w:pPr>
            <w:r>
              <w:rPr>
                <w:b/>
                <w:bCs/>
                <w:color w:val="000000"/>
                <w:sz w:val="20"/>
                <w:szCs w:val="20"/>
              </w:rPr>
              <w:t>015OBDRR</w:t>
            </w:r>
          </w:p>
        </w:tc>
        <w:tc>
          <w:tcPr>
            <w:tcW w:w="2336" w:type="pct"/>
            <w:tcBorders>
              <w:top w:val="nil"/>
              <w:left w:val="nil"/>
              <w:bottom w:val="single" w:sz="4" w:space="0" w:color="auto"/>
              <w:right w:val="single" w:sz="8" w:space="0" w:color="auto"/>
            </w:tcBorders>
            <w:tcMar>
              <w:top w:w="0" w:type="dxa"/>
              <w:left w:w="108" w:type="dxa"/>
              <w:bottom w:w="0" w:type="dxa"/>
              <w:right w:w="108" w:type="dxa"/>
            </w:tcMar>
          </w:tcPr>
          <w:p w:rsidR="00526C18" w:rsidRDefault="00526C18" w:rsidP="00715A89">
            <w:pPr>
              <w:rPr>
                <w:b/>
                <w:bCs/>
                <w:color w:val="000000"/>
                <w:sz w:val="20"/>
                <w:szCs w:val="20"/>
              </w:rPr>
            </w:pPr>
            <w:r w:rsidRPr="00526C18">
              <w:rPr>
                <w:b/>
                <w:bCs/>
                <w:color w:val="000000"/>
                <w:sz w:val="20"/>
                <w:szCs w:val="20"/>
              </w:rPr>
              <w:t>Linking of VOLL to the Effective SWCAP</w:t>
            </w:r>
            <w:r>
              <w:rPr>
                <w:b/>
                <w:bCs/>
                <w:color w:val="000000"/>
                <w:sz w:val="20"/>
                <w:szCs w:val="20"/>
              </w:rPr>
              <w:t xml:space="preserve">.  </w:t>
            </w:r>
            <w:r w:rsidRPr="00526C18">
              <w:rPr>
                <w:bCs/>
                <w:color w:val="000000"/>
                <w:sz w:val="20"/>
                <w:szCs w:val="20"/>
              </w:rPr>
              <w:t>This Other Binding Document Revision Request (OBDRR) modifies the Value of Lost Load (VOLL) to be set equal to the System-Wide Offer Cap (SWCAP). This would result in VOLL changing from the High System-Wide Offer Cap (HCAP) to the Low System-Wide Offer Cap (LCAP) should the Peaker Net Margin (PNM) exceed the PNM threshold within an annual Resource adequacy cycle.</w:t>
            </w:r>
            <w:r>
              <w:rPr>
                <w:bCs/>
                <w:color w:val="000000"/>
                <w:sz w:val="20"/>
                <w:szCs w:val="20"/>
              </w:rPr>
              <w:t xml:space="preserve"> [ERCOT]</w:t>
            </w:r>
          </w:p>
        </w:tc>
        <w:tc>
          <w:tcPr>
            <w:tcW w:w="424" w:type="pct"/>
            <w:tcBorders>
              <w:top w:val="nil"/>
              <w:left w:val="nil"/>
              <w:bottom w:val="single" w:sz="4" w:space="0" w:color="auto"/>
              <w:right w:val="single" w:sz="8" w:space="0" w:color="auto"/>
            </w:tcBorders>
            <w:tcMar>
              <w:top w:w="0" w:type="dxa"/>
              <w:left w:w="108" w:type="dxa"/>
              <w:bottom w:w="0" w:type="dxa"/>
              <w:right w:w="108" w:type="dxa"/>
            </w:tcMar>
          </w:tcPr>
          <w:p w:rsidR="00526C18" w:rsidRDefault="00526C18" w:rsidP="00715A89">
            <w:pPr>
              <w:jc w:val="center"/>
              <w:rPr>
                <w:color w:val="000000"/>
                <w:sz w:val="20"/>
                <w:szCs w:val="20"/>
              </w:rPr>
            </w:pPr>
          </w:p>
        </w:tc>
        <w:tc>
          <w:tcPr>
            <w:tcW w:w="1711" w:type="pct"/>
            <w:tcBorders>
              <w:top w:val="nil"/>
              <w:left w:val="nil"/>
              <w:bottom w:val="single" w:sz="4" w:space="0" w:color="auto"/>
              <w:right w:val="single" w:sz="8" w:space="0" w:color="auto"/>
            </w:tcBorders>
            <w:tcMar>
              <w:top w:w="0" w:type="dxa"/>
              <w:left w:w="108" w:type="dxa"/>
              <w:bottom w:w="0" w:type="dxa"/>
              <w:right w:w="108" w:type="dxa"/>
            </w:tcMar>
          </w:tcPr>
          <w:p w:rsidR="00526C18" w:rsidRDefault="00526C18" w:rsidP="002B44A3">
            <w:pPr>
              <w:rPr>
                <w:sz w:val="20"/>
                <w:szCs w:val="20"/>
              </w:rPr>
            </w:pPr>
            <w:r>
              <w:rPr>
                <w:sz w:val="20"/>
                <w:szCs w:val="20"/>
              </w:rPr>
              <w:t>ERC</w:t>
            </w:r>
            <w:r>
              <w:rPr>
                <w:sz w:val="20"/>
                <w:szCs w:val="20"/>
              </w:rPr>
              <w:t>OT supports approval of OBDRR015</w:t>
            </w:r>
            <w:r w:rsidR="002B44A3">
              <w:rPr>
                <w:sz w:val="20"/>
                <w:szCs w:val="20"/>
              </w:rPr>
              <w:t>.</w:t>
            </w:r>
          </w:p>
        </w:tc>
      </w:tr>
      <w:tr w:rsidR="00526C18" w:rsidRPr="0096024F" w:rsidTr="00526C18">
        <w:tc>
          <w:tcPr>
            <w:tcW w:w="529"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526C18" w:rsidRDefault="00526C18" w:rsidP="00715A89">
            <w:pPr>
              <w:rPr>
                <w:b/>
                <w:bCs/>
                <w:color w:val="000000"/>
                <w:sz w:val="20"/>
                <w:szCs w:val="20"/>
              </w:rPr>
            </w:pPr>
            <w:r>
              <w:rPr>
                <w:b/>
                <w:bCs/>
                <w:color w:val="000000"/>
                <w:sz w:val="20"/>
                <w:szCs w:val="20"/>
              </w:rPr>
              <w:t>069PGRR</w:t>
            </w:r>
          </w:p>
        </w:tc>
        <w:tc>
          <w:tcPr>
            <w:tcW w:w="2336" w:type="pct"/>
            <w:tcBorders>
              <w:top w:val="nil"/>
              <w:left w:val="nil"/>
              <w:bottom w:val="single" w:sz="4" w:space="0" w:color="auto"/>
              <w:right w:val="single" w:sz="8" w:space="0" w:color="auto"/>
            </w:tcBorders>
            <w:tcMar>
              <w:top w:w="0" w:type="dxa"/>
              <w:left w:w="108" w:type="dxa"/>
              <w:bottom w:w="0" w:type="dxa"/>
              <w:right w:w="108" w:type="dxa"/>
            </w:tcMar>
          </w:tcPr>
          <w:p w:rsidR="00526C18" w:rsidRDefault="00526C18" w:rsidP="00715A89">
            <w:pPr>
              <w:rPr>
                <w:color w:val="000000"/>
                <w:sz w:val="20"/>
                <w:szCs w:val="20"/>
              </w:rPr>
            </w:pPr>
            <w:r>
              <w:rPr>
                <w:b/>
                <w:bCs/>
                <w:color w:val="000000"/>
                <w:sz w:val="20"/>
                <w:szCs w:val="20"/>
              </w:rPr>
              <w:t xml:space="preserve">Related to NPRR921, RTF-2 Elimination of the Terms All-Inclusive Generation Resource and All-Inclusive Resource. </w:t>
            </w:r>
            <w:r>
              <w:rPr>
                <w:color w:val="000000"/>
                <w:sz w:val="20"/>
                <w:szCs w:val="20"/>
              </w:rPr>
              <w:t xml:space="preserve"> This Planning Guide Revision Request (PGRR) uses the terms created in NPRR889, RTF-1 Replace Non-Modeled Generator with Settlement Only Generator, to replace the terms All-Inclusive Generation Resource and All-Inclusive Resource in the Planning Guide. Additionally, this PGRR clarifies the applicability of the Generation Interconnection or Change Request (GINR) process to different generators based on the terms created in </w:t>
            </w:r>
            <w:r>
              <w:rPr>
                <w:color w:val="000000"/>
                <w:sz w:val="20"/>
                <w:szCs w:val="20"/>
              </w:rPr>
              <w:lastRenderedPageBreak/>
              <w:t>NPRR889. Section 5.6 is deleted as it is redundant with applicable sections in the ERCOT Protocols.  [ERCOT]</w:t>
            </w:r>
          </w:p>
        </w:tc>
        <w:tc>
          <w:tcPr>
            <w:tcW w:w="424" w:type="pct"/>
            <w:tcBorders>
              <w:top w:val="nil"/>
              <w:left w:val="nil"/>
              <w:bottom w:val="single" w:sz="4" w:space="0" w:color="auto"/>
              <w:right w:val="single" w:sz="8" w:space="0" w:color="auto"/>
            </w:tcBorders>
            <w:tcMar>
              <w:top w:w="0" w:type="dxa"/>
              <w:left w:w="108" w:type="dxa"/>
              <w:bottom w:w="0" w:type="dxa"/>
              <w:right w:w="108" w:type="dxa"/>
            </w:tcMar>
          </w:tcPr>
          <w:p w:rsidR="00526C18" w:rsidRDefault="00526C18" w:rsidP="00715A89">
            <w:pPr>
              <w:jc w:val="center"/>
              <w:rPr>
                <w:color w:val="000000"/>
                <w:sz w:val="20"/>
                <w:szCs w:val="20"/>
              </w:rPr>
            </w:pPr>
            <w:r>
              <w:rPr>
                <w:color w:val="000000"/>
                <w:sz w:val="20"/>
                <w:szCs w:val="20"/>
              </w:rPr>
              <w:lastRenderedPageBreak/>
              <w:t>N</w:t>
            </w:r>
          </w:p>
        </w:tc>
        <w:tc>
          <w:tcPr>
            <w:tcW w:w="1711" w:type="pct"/>
            <w:tcBorders>
              <w:top w:val="nil"/>
              <w:left w:val="nil"/>
              <w:bottom w:val="single" w:sz="4" w:space="0" w:color="auto"/>
              <w:right w:val="single" w:sz="8" w:space="0" w:color="auto"/>
            </w:tcBorders>
            <w:tcMar>
              <w:top w:w="0" w:type="dxa"/>
              <w:left w:w="108" w:type="dxa"/>
              <w:bottom w:w="0" w:type="dxa"/>
              <w:right w:w="108" w:type="dxa"/>
            </w:tcMar>
          </w:tcPr>
          <w:p w:rsidR="00526C18" w:rsidRDefault="00526C18" w:rsidP="002B44A3">
            <w:pPr>
              <w:rPr>
                <w:sz w:val="20"/>
                <w:szCs w:val="20"/>
              </w:rPr>
            </w:pPr>
            <w:r>
              <w:rPr>
                <w:sz w:val="20"/>
                <w:szCs w:val="20"/>
              </w:rPr>
              <w:t>ERC</w:t>
            </w:r>
            <w:r w:rsidR="002B44A3">
              <w:rPr>
                <w:sz w:val="20"/>
                <w:szCs w:val="20"/>
              </w:rPr>
              <w:t>OT supports approval of PGRR069.</w:t>
            </w:r>
          </w:p>
        </w:tc>
      </w:tr>
      <w:tr w:rsidR="00526C18" w:rsidTr="00B64D5A">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rPr>
                <w:b/>
                <w:bCs/>
                <w:color w:val="000000"/>
                <w:sz w:val="20"/>
                <w:szCs w:val="20"/>
              </w:rPr>
            </w:pPr>
            <w:r>
              <w:rPr>
                <w:b/>
                <w:bCs/>
                <w:color w:val="000000"/>
                <w:sz w:val="20"/>
                <w:szCs w:val="20"/>
              </w:rPr>
              <w:t>070PGRR</w:t>
            </w:r>
          </w:p>
        </w:tc>
        <w:tc>
          <w:tcPr>
            <w:tcW w:w="2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Pr="005A278D" w:rsidRDefault="00526C18" w:rsidP="00B64D5A">
            <w:pPr>
              <w:rPr>
                <w:b/>
                <w:bCs/>
                <w:color w:val="000000"/>
                <w:sz w:val="20"/>
                <w:szCs w:val="20"/>
              </w:rPr>
            </w:pPr>
            <w:r>
              <w:rPr>
                <w:b/>
                <w:bCs/>
                <w:color w:val="000000"/>
                <w:sz w:val="20"/>
                <w:szCs w:val="20"/>
              </w:rPr>
              <w:t>Revised Responsibilities for Performing Geomagnetic Disturbance (GMD) Vulnerability Assessments</w:t>
            </w:r>
            <w:r w:rsidRPr="005A278D">
              <w:rPr>
                <w:b/>
                <w:bCs/>
                <w:color w:val="000000"/>
                <w:sz w:val="20"/>
                <w:szCs w:val="20"/>
              </w:rPr>
              <w:t>.</w:t>
            </w:r>
            <w:r w:rsidRPr="005A278D">
              <w:rPr>
                <w:bCs/>
                <w:color w:val="000000"/>
                <w:sz w:val="20"/>
                <w:szCs w:val="20"/>
              </w:rPr>
              <w:t>  This Planning Guide Revision Request (PGRR) aligns the Planning Guide with North American Electric Reliability Corporation (NERC) Reliability Standard TPL-007-2, Transmission System Planned Performance for Geomagnetic Disturbance Events, by identifying responsibilities for performing studies needed to complete benchmark and supplemental Geomagnetic Disturbance (GMD) vulnerability assessments.  [ERCOT]</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B64D5A">
            <w:pPr>
              <w:jc w:val="center"/>
              <w:rPr>
                <w:color w:val="000000"/>
                <w:sz w:val="20"/>
                <w:szCs w:val="20"/>
              </w:rPr>
            </w:pPr>
            <w:r>
              <w:rPr>
                <w:color w:val="000000"/>
                <w:sz w:val="20"/>
                <w:szCs w:val="20"/>
              </w:rPr>
              <w:t>N</w:t>
            </w:r>
          </w:p>
        </w:tc>
        <w:tc>
          <w:tcPr>
            <w:tcW w:w="17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2B44A3">
            <w:pPr>
              <w:rPr>
                <w:sz w:val="20"/>
                <w:szCs w:val="20"/>
              </w:rPr>
            </w:pPr>
            <w:r>
              <w:rPr>
                <w:sz w:val="20"/>
                <w:szCs w:val="20"/>
              </w:rPr>
              <w:t>ERC</w:t>
            </w:r>
            <w:r w:rsidR="002B44A3">
              <w:rPr>
                <w:sz w:val="20"/>
                <w:szCs w:val="20"/>
              </w:rPr>
              <w:t>OT supports approval of PGRR070.</w:t>
            </w:r>
          </w:p>
        </w:tc>
      </w:tr>
      <w:tr w:rsidR="00526C18" w:rsidRPr="0096024F" w:rsidTr="00526C18">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715A89">
            <w:pPr>
              <w:rPr>
                <w:b/>
                <w:bCs/>
                <w:color w:val="000000"/>
                <w:sz w:val="20"/>
                <w:szCs w:val="20"/>
              </w:rPr>
            </w:pPr>
            <w:r>
              <w:rPr>
                <w:b/>
                <w:bCs/>
                <w:color w:val="000000"/>
                <w:sz w:val="20"/>
                <w:szCs w:val="20"/>
              </w:rPr>
              <w:t>185NOGRR</w:t>
            </w:r>
          </w:p>
        </w:tc>
        <w:tc>
          <w:tcPr>
            <w:tcW w:w="2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715A89">
            <w:pPr>
              <w:rPr>
                <w:color w:val="000000"/>
                <w:sz w:val="20"/>
                <w:szCs w:val="20"/>
              </w:rPr>
            </w:pPr>
            <w:r>
              <w:rPr>
                <w:b/>
                <w:bCs/>
                <w:color w:val="000000"/>
                <w:sz w:val="20"/>
                <w:szCs w:val="20"/>
              </w:rPr>
              <w:t xml:space="preserve">Related to NPRR921, RTF-2 Elimination of the Terms All-Inclusive Generation Resource and All-Inclusive Resource.  </w:t>
            </w:r>
            <w:r>
              <w:rPr>
                <w:color w:val="000000"/>
                <w:sz w:val="20"/>
                <w:szCs w:val="20"/>
              </w:rPr>
              <w:t>This Nodal Operating Guide Revision Request (NOGRR) uses the terms created in NPRR889, RTF-1 Replace Non-Modeled Generator with Settlement Only Generator, to replace the terms All-Inclusive Generation Resource and All-Inclusive Resource in the Nodal Operating Guide.  [ERCOT]</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715A89">
            <w:pPr>
              <w:jc w:val="center"/>
              <w:rPr>
                <w:color w:val="000000"/>
                <w:sz w:val="20"/>
                <w:szCs w:val="20"/>
              </w:rPr>
            </w:pPr>
            <w:r>
              <w:rPr>
                <w:color w:val="000000"/>
                <w:sz w:val="20"/>
                <w:szCs w:val="20"/>
              </w:rPr>
              <w:t>N</w:t>
            </w:r>
          </w:p>
        </w:tc>
        <w:tc>
          <w:tcPr>
            <w:tcW w:w="17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C18" w:rsidRDefault="00526C18" w:rsidP="002B44A3">
            <w:pPr>
              <w:rPr>
                <w:sz w:val="20"/>
                <w:szCs w:val="20"/>
              </w:rPr>
            </w:pPr>
            <w:r>
              <w:rPr>
                <w:sz w:val="20"/>
                <w:szCs w:val="20"/>
              </w:rPr>
              <w:t>ERCO</w:t>
            </w:r>
            <w:r w:rsidR="002B44A3">
              <w:rPr>
                <w:sz w:val="20"/>
                <w:szCs w:val="20"/>
              </w:rPr>
              <w:t>T supports approval of NOGRR185.</w:t>
            </w:r>
            <w:bookmarkStart w:id="0" w:name="_GoBack"/>
            <w:bookmarkEnd w:id="0"/>
          </w:p>
        </w:tc>
      </w:tr>
    </w:tbl>
    <w:p w:rsidR="00E60BF8" w:rsidRDefault="00E60BF8"/>
    <w:sectPr w:rsidR="00E60BF8"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AB" w:rsidRDefault="00E656AB" w:rsidP="00985FF4">
      <w:r>
        <w:separator/>
      </w:r>
    </w:p>
  </w:endnote>
  <w:endnote w:type="continuationSeparator" w:id="0">
    <w:p w:rsidR="00E656AB" w:rsidRDefault="00E656AB"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AB" w:rsidRDefault="00E656AB" w:rsidP="00985FF4">
      <w:r>
        <w:separator/>
      </w:r>
    </w:p>
  </w:footnote>
  <w:footnote w:type="continuationSeparator" w:id="0">
    <w:p w:rsidR="00E656AB" w:rsidRDefault="00E656AB"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9B27B4">
      <w:t>5/22</w:t>
    </w:r>
    <w:r>
      <w:t>/19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101E68"/>
    <w:rsid w:val="00131AD8"/>
    <w:rsid w:val="002378E5"/>
    <w:rsid w:val="002B44A3"/>
    <w:rsid w:val="00320D47"/>
    <w:rsid w:val="0044443B"/>
    <w:rsid w:val="00502C7D"/>
    <w:rsid w:val="00526C18"/>
    <w:rsid w:val="005A278D"/>
    <w:rsid w:val="005E147E"/>
    <w:rsid w:val="006256A5"/>
    <w:rsid w:val="00715A89"/>
    <w:rsid w:val="00825E43"/>
    <w:rsid w:val="008874B6"/>
    <w:rsid w:val="0096024F"/>
    <w:rsid w:val="00985FF4"/>
    <w:rsid w:val="009B27B4"/>
    <w:rsid w:val="009C5427"/>
    <w:rsid w:val="009F363E"/>
    <w:rsid w:val="00A94986"/>
    <w:rsid w:val="00AC0725"/>
    <w:rsid w:val="00AD50EB"/>
    <w:rsid w:val="00BD6400"/>
    <w:rsid w:val="00E60BF8"/>
    <w:rsid w:val="00E656AB"/>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620260592">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A. Boren</cp:lastModifiedBy>
  <cp:revision>2</cp:revision>
  <dcterms:created xsi:type="dcterms:W3CDTF">2019-05-15T18:35:00Z</dcterms:created>
  <dcterms:modified xsi:type="dcterms:W3CDTF">2019-05-15T18:35:00Z</dcterms:modified>
</cp:coreProperties>
</file>