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53145" w14:textId="0EB0AC46" w:rsidR="009010DD" w:rsidRPr="00A056D5" w:rsidRDefault="00153EF4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b/>
          <w:bCs/>
          <w:color w:val="000000"/>
          <w:sz w:val="33"/>
          <w:szCs w:val="33"/>
        </w:rPr>
        <w:t xml:space="preserve">MWG </w:t>
      </w:r>
      <w:r w:rsidR="00551065" w:rsidRPr="00A056D5">
        <w:rPr>
          <w:rFonts w:ascii="TradeGothic LT" w:hAnsi="TradeGothic LT"/>
          <w:b/>
          <w:bCs/>
          <w:color w:val="000000"/>
          <w:sz w:val="33"/>
          <w:szCs w:val="33"/>
        </w:rPr>
        <w:t xml:space="preserve">WebEx </w:t>
      </w:r>
      <w:r w:rsidRPr="00A056D5">
        <w:rPr>
          <w:rFonts w:ascii="TradeGothic LT" w:hAnsi="TradeGothic LT"/>
          <w:b/>
          <w:bCs/>
          <w:color w:val="000000"/>
          <w:sz w:val="33"/>
          <w:szCs w:val="33"/>
        </w:rPr>
        <w:t>Meeting Summary Notes</w:t>
      </w:r>
    </w:p>
    <w:p w14:paraId="6CD021DE" w14:textId="69135FAF" w:rsidR="009010DD" w:rsidRPr="00A056D5" w:rsidRDefault="00B92EEE" w:rsidP="009010DD">
      <w:pPr>
        <w:pStyle w:val="NormalWeb"/>
        <w:rPr>
          <w:rFonts w:ascii="TradeGothic LT" w:hAnsi="TradeGothic LT"/>
          <w:color w:val="000000"/>
          <w:sz w:val="22"/>
          <w:szCs w:val="22"/>
        </w:rPr>
      </w:pPr>
      <w:r>
        <w:rPr>
          <w:rFonts w:ascii="TradeGothic LT" w:hAnsi="TradeGothic LT"/>
          <w:b/>
          <w:bCs/>
          <w:color w:val="000000"/>
          <w:sz w:val="22"/>
          <w:szCs w:val="22"/>
        </w:rPr>
        <w:t>May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8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>, 201</w:t>
      </w:r>
      <w:r w:rsidR="00490ECD" w:rsidRPr="00A056D5">
        <w:rPr>
          <w:rFonts w:ascii="TradeGothic LT" w:hAnsi="TradeGothic LT"/>
          <w:b/>
          <w:bCs/>
          <w:color w:val="000000"/>
          <w:sz w:val="22"/>
          <w:szCs w:val="22"/>
        </w:rPr>
        <w:t>8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551065" w:rsidRPr="00A056D5">
        <w:rPr>
          <w:rFonts w:ascii="TradeGothic LT" w:hAnsi="TradeGothic LT"/>
          <w:b/>
          <w:bCs/>
          <w:color w:val="000000"/>
          <w:sz w:val="22"/>
          <w:szCs w:val="22"/>
        </w:rPr>
        <w:t>9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9010D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0 AM - </w:t>
      </w:r>
      <w:r w:rsidR="001A3EF9">
        <w:rPr>
          <w:rFonts w:ascii="TradeGothic LT" w:hAnsi="TradeGothic LT"/>
          <w:b/>
          <w:bCs/>
          <w:color w:val="000000"/>
          <w:sz w:val="22"/>
          <w:szCs w:val="22"/>
        </w:rPr>
        <w:t>10</w:t>
      </w:r>
      <w:r w:rsidR="008628B9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 w:rsidR="001A3EF9">
        <w:rPr>
          <w:rFonts w:ascii="TradeGothic LT" w:hAnsi="TradeGothic LT"/>
          <w:b/>
          <w:bCs/>
          <w:color w:val="000000"/>
          <w:sz w:val="22"/>
          <w:szCs w:val="22"/>
        </w:rPr>
        <w:t>18 AM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(</w:t>
      </w:r>
      <w:r w:rsidR="00551065" w:rsidRPr="00A056D5"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1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:</w:t>
      </w:r>
      <w:r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0</w:t>
      </w:r>
      <w:r w:rsidR="00F8143D" w:rsidRPr="00A056D5">
        <w:rPr>
          <w:rFonts w:ascii="TradeGothic LT" w:hAnsi="TradeGothic LT"/>
          <w:b/>
          <w:bCs/>
          <w:color w:val="000000"/>
          <w:sz w:val="22"/>
          <w:szCs w:val="22"/>
        </w:rPr>
        <w:t xml:space="preserve"> </w:t>
      </w:r>
      <w:r w:rsidR="00A4710C" w:rsidRPr="00A056D5">
        <w:rPr>
          <w:rFonts w:ascii="TradeGothic LT" w:hAnsi="TradeGothic LT"/>
          <w:b/>
          <w:bCs/>
          <w:color w:val="000000"/>
          <w:sz w:val="22"/>
          <w:szCs w:val="22"/>
        </w:rPr>
        <w:t>scheduled)</w:t>
      </w:r>
    </w:p>
    <w:p w14:paraId="07B040F5" w14:textId="77777777" w:rsidR="009010DD" w:rsidRPr="00A056D5" w:rsidRDefault="009010DD" w:rsidP="009010DD">
      <w:pPr>
        <w:pStyle w:val="NormalWeb"/>
        <w:rPr>
          <w:rFonts w:ascii="TradeGothic LT" w:hAnsi="TradeGothic LT"/>
        </w:rPr>
      </w:pPr>
      <w:r w:rsidRPr="00A056D5">
        <w:rPr>
          <w:rFonts w:ascii="TradeGothic LT" w:hAnsi="TradeGothic LT"/>
          <w:noProof/>
        </w:rPr>
        <w:drawing>
          <wp:inline distT="0" distB="0" distL="0" distR="0" wp14:anchorId="0534A744" wp14:editId="50019FF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89B7F" w14:textId="12FB6C94" w:rsidR="009010DD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Anti-Trust Admonition</w:t>
      </w:r>
      <w:r w:rsidR="008878BE"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E936D5" w:rsidRPr="00A056D5">
        <w:rPr>
          <w:rFonts w:ascii="TradeGothic LT" w:hAnsi="TradeGothic LT"/>
          <w:color w:val="000000"/>
          <w:sz w:val="21"/>
          <w:szCs w:val="21"/>
        </w:rPr>
        <w:t xml:space="preserve">was </w:t>
      </w:r>
      <w:r w:rsidR="000B61D6" w:rsidRPr="00A056D5">
        <w:rPr>
          <w:rFonts w:ascii="TradeGothic LT" w:hAnsi="TradeGothic LT"/>
          <w:color w:val="000000"/>
          <w:sz w:val="21"/>
          <w:szCs w:val="21"/>
        </w:rPr>
        <w:t>reviewed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:</w:t>
      </w:r>
      <w:r w:rsidRPr="00A056D5">
        <w:rPr>
          <w:rFonts w:ascii="TradeGothic LT" w:hAnsi="TradeGothic LT"/>
          <w:color w:val="000000"/>
          <w:sz w:val="21"/>
          <w:szCs w:val="21"/>
        </w:rPr>
        <w:t xml:space="preserve"> D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arrell S.</w:t>
      </w:r>
      <w:r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7343A7" w:rsidRPr="00A056D5">
        <w:rPr>
          <w:rFonts w:ascii="TradeGothic LT" w:hAnsi="TradeGothic LT"/>
          <w:color w:val="000000"/>
          <w:sz w:val="21"/>
          <w:szCs w:val="21"/>
        </w:rPr>
        <w:t>of CenterPoint</w:t>
      </w:r>
    </w:p>
    <w:p w14:paraId="044928F9" w14:textId="77777777" w:rsidR="00AC6F06" w:rsidRPr="00A056D5" w:rsidRDefault="00AC6F06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1"/>
          <w:szCs w:val="21"/>
        </w:rPr>
      </w:pPr>
    </w:p>
    <w:p w14:paraId="75717C50" w14:textId="6B726D32" w:rsidR="009010DD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Attendance roll-call and introduction</w:t>
      </w:r>
      <w:r w:rsidR="00E936D5" w:rsidRPr="00A056D5">
        <w:rPr>
          <w:rFonts w:ascii="TradeGothic LT" w:hAnsi="TradeGothic LT"/>
          <w:color w:val="000000"/>
          <w:sz w:val="21"/>
          <w:szCs w:val="21"/>
        </w:rPr>
        <w:t>:</w:t>
      </w:r>
      <w:r w:rsidR="008878BE"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Darrell S.</w:t>
      </w:r>
    </w:p>
    <w:p w14:paraId="1DBAFF74" w14:textId="070271FE" w:rsidR="009010DD" w:rsidRDefault="009F7FD6" w:rsidP="00044A2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Meeting</w:t>
      </w:r>
      <w:r w:rsidR="009010DD" w:rsidRPr="00A056D5">
        <w:rPr>
          <w:rFonts w:ascii="TradeGothic LT" w:hAnsi="TradeGothic LT"/>
          <w:color w:val="000000"/>
          <w:sz w:val="21"/>
          <w:szCs w:val="21"/>
        </w:rPr>
        <w:t xml:space="preserve"> attend</w:t>
      </w:r>
      <w:r w:rsidRPr="00A056D5">
        <w:rPr>
          <w:rFonts w:ascii="TradeGothic LT" w:hAnsi="TradeGothic LT"/>
          <w:color w:val="000000"/>
          <w:sz w:val="21"/>
          <w:szCs w:val="21"/>
        </w:rPr>
        <w:t>ees</w:t>
      </w:r>
      <w:r w:rsidR="009010DD" w:rsidRPr="00A056D5">
        <w:rPr>
          <w:rFonts w:ascii="TradeGothic LT" w:hAnsi="TradeGothic LT"/>
          <w:color w:val="000000"/>
          <w:sz w:val="21"/>
          <w:szCs w:val="21"/>
        </w:rPr>
        <w:t xml:space="preserve"> </w:t>
      </w:r>
      <w:r w:rsidR="0031246D" w:rsidRPr="00A056D5">
        <w:rPr>
          <w:rFonts w:ascii="TradeGothic LT" w:hAnsi="TradeGothic LT"/>
          <w:color w:val="000000"/>
          <w:sz w:val="21"/>
          <w:szCs w:val="21"/>
        </w:rPr>
        <w:t>stated</w:t>
      </w:r>
      <w:r w:rsidR="00AC6F06" w:rsidRPr="00A056D5">
        <w:rPr>
          <w:rFonts w:ascii="TradeGothic LT" w:hAnsi="TradeGothic LT"/>
          <w:color w:val="000000"/>
          <w:sz w:val="21"/>
          <w:szCs w:val="21"/>
        </w:rPr>
        <w:t xml:space="preserve"> their name and company</w:t>
      </w:r>
      <w:r w:rsidR="00C80333" w:rsidRPr="00A056D5">
        <w:rPr>
          <w:rFonts w:ascii="TradeGothic LT" w:hAnsi="TradeGothic LT"/>
          <w:color w:val="000000"/>
          <w:sz w:val="21"/>
          <w:szCs w:val="21"/>
        </w:rPr>
        <w:t>.</w:t>
      </w:r>
    </w:p>
    <w:p w14:paraId="45CFFA94" w14:textId="77777777" w:rsidR="000C3240" w:rsidRDefault="000C3240" w:rsidP="000C3240">
      <w:pPr>
        <w:pStyle w:val="NormalWeb"/>
        <w:spacing w:before="0" w:beforeAutospacing="0" w:after="0" w:afterAutospacing="0"/>
        <w:ind w:left="1080"/>
        <w:rPr>
          <w:rFonts w:ascii="TradeGothic LT" w:hAnsi="TradeGothic LT"/>
          <w:color w:val="000000"/>
          <w:sz w:val="21"/>
          <w:szCs w:val="21"/>
        </w:rPr>
      </w:pPr>
    </w:p>
    <w:p w14:paraId="627AAB2D" w14:textId="7DF238F8" w:rsidR="000C3240" w:rsidRDefault="000C3240" w:rsidP="000C324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 xml:space="preserve">Don T. ERCOT </w:t>
      </w:r>
      <w:r w:rsidR="001A3EF9">
        <w:rPr>
          <w:rFonts w:ascii="TradeGothic LT" w:hAnsi="TradeGothic LT"/>
          <w:color w:val="000000"/>
          <w:sz w:val="21"/>
          <w:szCs w:val="21"/>
        </w:rPr>
        <w:t>reviewed the revision description, business case and language of the potential NPRR for section 10.12.1 impacting communication pathway requirements.</w:t>
      </w:r>
    </w:p>
    <w:p w14:paraId="664847AA" w14:textId="508077BB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Draft as reviewed is listed under key documents for the meeting.</w:t>
      </w:r>
    </w:p>
    <w:p w14:paraId="540CF329" w14:textId="0E97668B" w:rsidR="000C3240" w:rsidRDefault="001A3EF9" w:rsidP="000C32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Request for any objections was made; there were no objections.</w:t>
      </w:r>
    </w:p>
    <w:p w14:paraId="1B424150" w14:textId="07618BAA" w:rsidR="000C3240" w:rsidRPr="00A056D5" w:rsidRDefault="001A3EF9" w:rsidP="000C3240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Darrell S. confirmed that the MWG was in consensus for ERCOT to move forward with working to submit the NPRR</w:t>
      </w:r>
      <w:r w:rsidR="000C3240">
        <w:rPr>
          <w:rFonts w:ascii="TradeGothic LT" w:hAnsi="TradeGothic LT"/>
          <w:color w:val="000000"/>
          <w:sz w:val="21"/>
          <w:szCs w:val="21"/>
        </w:rPr>
        <w:t>.</w:t>
      </w:r>
    </w:p>
    <w:p w14:paraId="06AB0F60" w14:textId="77777777" w:rsidR="00044A20" w:rsidRPr="00A056D5" w:rsidRDefault="00044A20" w:rsidP="00044A20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color w:val="000000"/>
          <w:sz w:val="21"/>
          <w:szCs w:val="21"/>
        </w:rPr>
      </w:pPr>
    </w:p>
    <w:p w14:paraId="1A7C2267" w14:textId="7EA404E2" w:rsidR="001A3EF9" w:rsidRDefault="001A3EF9" w:rsidP="001A3EF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 T. ERCOT reviewed the revision description, business case and language of the potential NPRR for section 10.6.1.2 changing CCVT testing requirements and removing FOCTs as allowed instrument transformers.</w:t>
      </w:r>
    </w:p>
    <w:p w14:paraId="27408E48" w14:textId="77777777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Draft as reviewed is listed under key documents for the meeting.</w:t>
      </w:r>
    </w:p>
    <w:p w14:paraId="729F1C5C" w14:textId="77777777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Request for any objections was made; there were no objections.</w:t>
      </w:r>
    </w:p>
    <w:p w14:paraId="5545E31A" w14:textId="112C555A" w:rsidR="007422E8" w:rsidRP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Darrell S. confirmed that the MWG was in consensus for ERCOT to move forward with working to submit the NPRR.</w:t>
      </w:r>
    </w:p>
    <w:p w14:paraId="7D019EB0" w14:textId="77777777" w:rsidR="00621E7D" w:rsidRPr="004237AE" w:rsidRDefault="00621E7D" w:rsidP="00621E7D">
      <w:pPr>
        <w:pStyle w:val="NormalWeb"/>
        <w:spacing w:before="0" w:beforeAutospacing="0" w:after="0" w:afterAutospacing="0"/>
        <w:ind w:left="2880"/>
        <w:rPr>
          <w:rFonts w:ascii="TradeGothic LT" w:hAnsi="TradeGothic LT"/>
          <w:sz w:val="21"/>
          <w:szCs w:val="21"/>
        </w:rPr>
      </w:pPr>
    </w:p>
    <w:p w14:paraId="27B67A04" w14:textId="0A4E0777" w:rsidR="001A3EF9" w:rsidRDefault="001A3EF9" w:rsidP="001A3EF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Don T. ERCOT reviewed the revision description, business case and language of the potential SMOGRR for section 7 removing FOCTs as allowed instrument transformers.</w:t>
      </w:r>
    </w:p>
    <w:p w14:paraId="1E73A1EE" w14:textId="77777777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Draft as reviewed is listed under key documents for the meeting.</w:t>
      </w:r>
    </w:p>
    <w:p w14:paraId="5517DCF5" w14:textId="77777777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Request for any objections was made; there were no objections.</w:t>
      </w:r>
    </w:p>
    <w:p w14:paraId="0F84975F" w14:textId="77777777" w:rsidR="001A3EF9" w:rsidRP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color w:val="000000"/>
          <w:sz w:val="21"/>
          <w:szCs w:val="21"/>
        </w:rPr>
      </w:pPr>
      <w:r>
        <w:rPr>
          <w:rFonts w:ascii="TradeGothic LT" w:hAnsi="TradeGothic LT"/>
          <w:color w:val="000000"/>
          <w:sz w:val="21"/>
          <w:szCs w:val="21"/>
        </w:rPr>
        <w:t>Darrell S. confirmed that the MWG was in consensus for ERCOT to move forward with working to submit the NPRR.</w:t>
      </w:r>
    </w:p>
    <w:p w14:paraId="4231BA27" w14:textId="77777777" w:rsidR="00621E7D" w:rsidRPr="00A056D5" w:rsidRDefault="00621E7D" w:rsidP="00621E7D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6EDE678C" w14:textId="058AA0FD" w:rsidR="00753818" w:rsidRDefault="00753818" w:rsidP="001A3EF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Donald M. of ERCOT </w:t>
      </w:r>
      <w:r w:rsidR="001A3EF9">
        <w:rPr>
          <w:rFonts w:ascii="TradeGothic LT" w:hAnsi="TradeGothic LT"/>
          <w:sz w:val="21"/>
          <w:szCs w:val="21"/>
        </w:rPr>
        <w:t>added comments that the removal of FOCTs will necessitate an update to the site audit checklist, removing questions related to FOCTs.</w:t>
      </w:r>
    </w:p>
    <w:p w14:paraId="6F64B542" w14:textId="4DC9364E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ERCOT will also be updating the numbering scheme of the site audit checklist into a sectional format</w:t>
      </w:r>
      <w:r w:rsidR="002014F2">
        <w:rPr>
          <w:rFonts w:ascii="TradeGothic LT" w:hAnsi="TradeGothic LT"/>
          <w:sz w:val="21"/>
          <w:szCs w:val="21"/>
        </w:rPr>
        <w:t xml:space="preserve"> (i.e. 1.1, 2.3 </w:t>
      </w:r>
      <w:proofErr w:type="spellStart"/>
      <w:r w:rsidR="002014F2">
        <w:rPr>
          <w:rFonts w:ascii="TradeGothic LT" w:hAnsi="TradeGothic LT"/>
          <w:sz w:val="21"/>
          <w:szCs w:val="21"/>
        </w:rPr>
        <w:t>etc</w:t>
      </w:r>
      <w:proofErr w:type="spellEnd"/>
      <w:r w:rsidR="002014F2">
        <w:rPr>
          <w:rFonts w:ascii="TradeGothic LT" w:hAnsi="TradeGothic LT"/>
          <w:sz w:val="21"/>
          <w:szCs w:val="21"/>
        </w:rPr>
        <w:t>)</w:t>
      </w:r>
      <w:r>
        <w:rPr>
          <w:rFonts w:ascii="TradeGothic LT" w:hAnsi="TradeGothic LT"/>
          <w:sz w:val="21"/>
          <w:szCs w:val="21"/>
        </w:rPr>
        <w:t>. This will allow for questions to be added and deleted going forward without requiring renumbering of the whole sheet.</w:t>
      </w:r>
    </w:p>
    <w:p w14:paraId="456D4409" w14:textId="7C122B39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ERCOT will publish a version of the sheet containing the current numbers and future numbering scheme on the same sheet to allow TDSPs to transition to the new numbers. </w:t>
      </w:r>
    </w:p>
    <w:p w14:paraId="10D2A50A" w14:textId="4CCF7506" w:rsidR="001A3EF9" w:rsidRDefault="001A3EF9" w:rsidP="001A3EF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After a grace period, the </w:t>
      </w:r>
      <w:r w:rsidR="002014F2">
        <w:rPr>
          <w:rFonts w:ascii="TradeGothic LT" w:hAnsi="TradeGothic LT"/>
          <w:sz w:val="21"/>
          <w:szCs w:val="21"/>
        </w:rPr>
        <w:t>site audit checklist on the ERCOT website will be updated to only have the new numbering scheme.</w:t>
      </w:r>
    </w:p>
    <w:p w14:paraId="6850FEC3" w14:textId="77777777" w:rsidR="001A3EF9" w:rsidRPr="004237AE" w:rsidRDefault="001A3EF9" w:rsidP="001A3EF9">
      <w:pPr>
        <w:pStyle w:val="NormalWeb"/>
        <w:spacing w:before="0" w:beforeAutospacing="0" w:after="0" w:afterAutospacing="0"/>
        <w:rPr>
          <w:rFonts w:ascii="TradeGothic LT" w:hAnsi="TradeGothic LT"/>
          <w:sz w:val="21"/>
          <w:szCs w:val="21"/>
        </w:rPr>
      </w:pPr>
    </w:p>
    <w:p w14:paraId="08BF3985" w14:textId="3712065D" w:rsidR="00621E7D" w:rsidRDefault="000B7175" w:rsidP="0075381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Darrell S. reviewed the action from last MWG regarding the discussion on POI and line loss compensation and opened the meeting to input</w:t>
      </w:r>
      <w:r w:rsidR="006B17D1">
        <w:rPr>
          <w:rFonts w:ascii="TradeGothic LT" w:hAnsi="TradeGothic LT"/>
          <w:sz w:val="21"/>
          <w:szCs w:val="21"/>
        </w:rPr>
        <w:t>.</w:t>
      </w:r>
    </w:p>
    <w:p w14:paraId="47DBFA51" w14:textId="45191A5F" w:rsidR="00F81805" w:rsidRDefault="00E4672B" w:rsidP="00E4672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Don T. </w:t>
      </w:r>
      <w:r w:rsidR="000B7175">
        <w:rPr>
          <w:rFonts w:ascii="TradeGothic LT" w:hAnsi="TradeGothic LT"/>
          <w:sz w:val="21"/>
          <w:szCs w:val="21"/>
        </w:rPr>
        <w:t>presented the zonal versus nodal protocol definition for POI.</w:t>
      </w:r>
      <w:r w:rsidR="00F81805">
        <w:rPr>
          <w:rFonts w:ascii="TradeGothic LT" w:hAnsi="TradeGothic LT"/>
          <w:sz w:val="21"/>
          <w:szCs w:val="21"/>
        </w:rPr>
        <w:t xml:space="preserve"> Several scenarios were also presented with questions on how to determine the POI under the current definition.</w:t>
      </w:r>
    </w:p>
    <w:p w14:paraId="0DE43EA0" w14:textId="50684473" w:rsidR="000B7175" w:rsidRPr="00F81805" w:rsidRDefault="000B7175" w:rsidP="00F8180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F81805">
        <w:rPr>
          <w:rFonts w:ascii="TradeGothic LT" w:hAnsi="TradeGothic LT"/>
          <w:sz w:val="21"/>
          <w:szCs w:val="21"/>
        </w:rPr>
        <w:t>ERCOT has had internal discussions</w:t>
      </w:r>
      <w:r w:rsidR="00F81805" w:rsidRPr="00F81805">
        <w:rPr>
          <w:rFonts w:ascii="TradeGothic LT" w:hAnsi="TradeGothic LT"/>
          <w:sz w:val="21"/>
          <w:szCs w:val="21"/>
        </w:rPr>
        <w:t xml:space="preserve"> regarding the POI definition and it is likely that ERCOT will be submitting a NPRR to update the POI definition.</w:t>
      </w:r>
    </w:p>
    <w:p w14:paraId="2C8510C1" w14:textId="7AE11E21" w:rsidR="00E4672B" w:rsidRDefault="00F81805" w:rsidP="00F8180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Brian C. of CenterPoint commented that line loss compensation is part of the holistic discussion as related to POI.</w:t>
      </w:r>
    </w:p>
    <w:p w14:paraId="0CBDFCDB" w14:textId="5234966F" w:rsidR="00E4672B" w:rsidRDefault="00E4672B" w:rsidP="00F8180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lastRenderedPageBreak/>
        <w:t xml:space="preserve">Don T. </w:t>
      </w:r>
      <w:r w:rsidR="00F81805">
        <w:rPr>
          <w:rFonts w:ascii="TradeGothic LT" w:hAnsi="TradeGothic LT"/>
          <w:sz w:val="21"/>
          <w:szCs w:val="21"/>
        </w:rPr>
        <w:t xml:space="preserve">replied that until the POI is </w:t>
      </w:r>
      <w:r w:rsidR="00965F14">
        <w:rPr>
          <w:rFonts w:ascii="TradeGothic LT" w:hAnsi="TradeGothic LT"/>
          <w:sz w:val="21"/>
          <w:szCs w:val="21"/>
        </w:rPr>
        <w:t xml:space="preserve">clearly </w:t>
      </w:r>
      <w:r w:rsidR="00F81805">
        <w:rPr>
          <w:rFonts w:ascii="TradeGothic LT" w:hAnsi="TradeGothic LT"/>
          <w:sz w:val="21"/>
          <w:szCs w:val="21"/>
        </w:rPr>
        <w:t>understood, determining loss compensation is very difficult.</w:t>
      </w:r>
    </w:p>
    <w:p w14:paraId="22BCD824" w14:textId="5309CFF1" w:rsidR="00E4672B" w:rsidRDefault="00F81805" w:rsidP="00F8180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Brian C</w:t>
      </w:r>
      <w:r w:rsidR="00E4672B">
        <w:rPr>
          <w:rFonts w:ascii="TradeGothic LT" w:hAnsi="TradeGothic LT"/>
          <w:sz w:val="21"/>
          <w:szCs w:val="21"/>
        </w:rPr>
        <w:t xml:space="preserve">. </w:t>
      </w:r>
      <w:r>
        <w:rPr>
          <w:rFonts w:ascii="TradeGothic LT" w:hAnsi="TradeGothic LT"/>
          <w:sz w:val="21"/>
          <w:szCs w:val="21"/>
        </w:rPr>
        <w:t>presented from the Handbook of Electrical Metering chapter 16</w:t>
      </w:r>
      <w:r w:rsidR="00AA10E5">
        <w:rPr>
          <w:rFonts w:ascii="TradeGothic LT" w:hAnsi="TradeGothic LT"/>
          <w:sz w:val="21"/>
          <w:szCs w:val="21"/>
        </w:rPr>
        <w:t xml:space="preserve"> regarding the impact of loss compensation. There are times the loss value is small and therefore will not have a significant impact on the energy registration.</w:t>
      </w:r>
    </w:p>
    <w:p w14:paraId="4C4ED5CA" w14:textId="3022C5E8" w:rsidR="004E462D" w:rsidRDefault="00E4672B" w:rsidP="001B0C6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965F14">
        <w:rPr>
          <w:rFonts w:ascii="TradeGothic LT" w:hAnsi="TradeGothic LT"/>
          <w:sz w:val="21"/>
          <w:szCs w:val="21"/>
        </w:rPr>
        <w:t xml:space="preserve">Don T. </w:t>
      </w:r>
      <w:r w:rsidR="00210478" w:rsidRPr="00965F14">
        <w:rPr>
          <w:rFonts w:ascii="TradeGothic LT" w:hAnsi="TradeGothic LT"/>
          <w:sz w:val="21"/>
          <w:szCs w:val="21"/>
        </w:rPr>
        <w:t>c</w:t>
      </w:r>
      <w:r w:rsidR="00263D93">
        <w:rPr>
          <w:rFonts w:ascii="TradeGothic LT" w:hAnsi="TradeGothic LT"/>
          <w:sz w:val="21"/>
          <w:szCs w:val="21"/>
        </w:rPr>
        <w:t xml:space="preserve">ommented </w:t>
      </w:r>
      <w:r w:rsidR="00210478" w:rsidRPr="00965F14">
        <w:rPr>
          <w:rFonts w:ascii="TradeGothic LT" w:hAnsi="TradeGothic LT"/>
          <w:sz w:val="21"/>
          <w:szCs w:val="21"/>
        </w:rPr>
        <w:t xml:space="preserve">that </w:t>
      </w:r>
      <w:r w:rsidR="004E462D">
        <w:rPr>
          <w:rFonts w:ascii="TradeGothic LT" w:hAnsi="TradeGothic LT"/>
          <w:sz w:val="21"/>
          <w:szCs w:val="21"/>
        </w:rPr>
        <w:t xml:space="preserve">while </w:t>
      </w:r>
      <w:r w:rsidR="00210478" w:rsidRPr="00965F14">
        <w:rPr>
          <w:rFonts w:ascii="TradeGothic LT" w:hAnsi="TradeGothic LT"/>
          <w:sz w:val="21"/>
          <w:szCs w:val="21"/>
        </w:rPr>
        <w:t xml:space="preserve">ERCOT is </w:t>
      </w:r>
      <w:r w:rsidR="00965F14" w:rsidRPr="00965F14">
        <w:rPr>
          <w:rFonts w:ascii="TradeGothic LT" w:hAnsi="TradeGothic LT"/>
          <w:sz w:val="21"/>
          <w:szCs w:val="21"/>
        </w:rPr>
        <w:t xml:space="preserve">having internal discussions on the POI definition, </w:t>
      </w:r>
      <w:r w:rsidR="00210478" w:rsidRPr="004E462D">
        <w:rPr>
          <w:rFonts w:ascii="TradeGothic LT" w:hAnsi="TradeGothic LT"/>
          <w:sz w:val="21"/>
          <w:szCs w:val="21"/>
        </w:rPr>
        <w:t xml:space="preserve"> loss compensation will </w:t>
      </w:r>
      <w:r w:rsidR="00965F14" w:rsidRPr="004E462D">
        <w:rPr>
          <w:rFonts w:ascii="TradeGothic LT" w:hAnsi="TradeGothic LT"/>
          <w:sz w:val="21"/>
          <w:szCs w:val="21"/>
        </w:rPr>
        <w:t xml:space="preserve">still </w:t>
      </w:r>
      <w:r w:rsidR="00210478" w:rsidRPr="004E462D">
        <w:rPr>
          <w:rFonts w:ascii="TradeGothic LT" w:hAnsi="TradeGothic LT"/>
          <w:sz w:val="21"/>
          <w:szCs w:val="21"/>
        </w:rPr>
        <w:t xml:space="preserve">need to be addressed. </w:t>
      </w:r>
    </w:p>
    <w:p w14:paraId="6D3E17E2" w14:textId="0E6946EF" w:rsidR="00210478" w:rsidRPr="004E462D" w:rsidRDefault="004E462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TDSPs should provide their thoughts regarding </w:t>
      </w:r>
      <w:r w:rsidR="00965F14" w:rsidRPr="004E462D">
        <w:rPr>
          <w:rFonts w:ascii="TradeGothic LT" w:hAnsi="TradeGothic LT"/>
          <w:sz w:val="21"/>
          <w:szCs w:val="21"/>
        </w:rPr>
        <w:t xml:space="preserve">concepts </w:t>
      </w:r>
      <w:r w:rsidR="00210478" w:rsidRPr="004E462D">
        <w:rPr>
          <w:rFonts w:ascii="TradeGothic LT" w:hAnsi="TradeGothic LT"/>
          <w:sz w:val="21"/>
          <w:szCs w:val="21"/>
        </w:rPr>
        <w:t xml:space="preserve"> when loss compensation will be </w:t>
      </w:r>
      <w:r w:rsidR="00965F14" w:rsidRPr="004E462D">
        <w:rPr>
          <w:rFonts w:ascii="TradeGothic LT" w:hAnsi="TradeGothic LT"/>
          <w:sz w:val="21"/>
          <w:szCs w:val="21"/>
        </w:rPr>
        <w:t>required</w:t>
      </w:r>
      <w:r w:rsidR="00965F14">
        <w:rPr>
          <w:rFonts w:ascii="TradeGothic LT" w:hAnsi="TradeGothic LT"/>
          <w:sz w:val="21"/>
          <w:szCs w:val="21"/>
        </w:rPr>
        <w:t xml:space="preserve">. </w:t>
      </w:r>
      <w:bookmarkStart w:id="0" w:name="_GoBack"/>
      <w:bookmarkEnd w:id="0"/>
    </w:p>
    <w:p w14:paraId="379CC621" w14:textId="730AE11E" w:rsidR="00E4672B" w:rsidRDefault="00E4672B" w:rsidP="00E4672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Brian C. asked </w:t>
      </w:r>
      <w:r w:rsidR="00210478">
        <w:rPr>
          <w:rFonts w:ascii="TradeGothic LT" w:hAnsi="TradeGothic LT"/>
          <w:sz w:val="21"/>
          <w:szCs w:val="21"/>
        </w:rPr>
        <w:t xml:space="preserve">if the POI NPRR would come back through the MWG and the timeline. Don T. answered that </w:t>
      </w:r>
      <w:r w:rsidR="004E462D">
        <w:rPr>
          <w:rFonts w:ascii="TradeGothic LT" w:hAnsi="TradeGothic LT"/>
          <w:sz w:val="21"/>
          <w:szCs w:val="21"/>
        </w:rPr>
        <w:t xml:space="preserve">it is likely the NPRR </w:t>
      </w:r>
      <w:r w:rsidR="00210478">
        <w:rPr>
          <w:rFonts w:ascii="TradeGothic LT" w:hAnsi="TradeGothic LT"/>
          <w:sz w:val="21"/>
          <w:szCs w:val="21"/>
        </w:rPr>
        <w:t>would not come through the MWG</w:t>
      </w:r>
      <w:r w:rsidR="004E462D">
        <w:rPr>
          <w:rFonts w:ascii="TradeGothic LT" w:hAnsi="TradeGothic LT"/>
          <w:sz w:val="21"/>
          <w:szCs w:val="21"/>
        </w:rPr>
        <w:t>; though that is to be determined</w:t>
      </w:r>
      <w:r w:rsidR="00210478">
        <w:rPr>
          <w:rFonts w:ascii="TradeGothic LT" w:hAnsi="TradeGothic LT"/>
          <w:sz w:val="21"/>
          <w:szCs w:val="21"/>
        </w:rPr>
        <w:t>.</w:t>
      </w:r>
    </w:p>
    <w:p w14:paraId="2FEF1AAD" w14:textId="036B1E95" w:rsidR="00E4672B" w:rsidRDefault="00210478" w:rsidP="0021047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Harvey S. of CPS added that an addition to the POI definition could be added specific to metering. </w:t>
      </w:r>
    </w:p>
    <w:p w14:paraId="4D2C4845" w14:textId="5B3C180B" w:rsidR="00210478" w:rsidRDefault="00210478" w:rsidP="0021047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Gabriel G. of AEP added that an option for determining loss compensation that does not require calculations during the design proposal would be preferred.</w:t>
      </w:r>
    </w:p>
    <w:p w14:paraId="2B73488C" w14:textId="7B105661" w:rsidR="00210478" w:rsidRDefault="00210478" w:rsidP="0021047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 xml:space="preserve">There was general agreement that an approach using a distance only approach would be </w:t>
      </w:r>
      <w:r w:rsidR="004730C7">
        <w:rPr>
          <w:rFonts w:ascii="TradeGothic LT" w:hAnsi="TradeGothic LT"/>
          <w:sz w:val="21"/>
          <w:szCs w:val="21"/>
        </w:rPr>
        <w:t>preferable for real world work.</w:t>
      </w:r>
    </w:p>
    <w:p w14:paraId="04E25CD7" w14:textId="3CCEC2DF" w:rsidR="004730C7" w:rsidRDefault="004730C7" w:rsidP="004730C7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Don T. replied that ERCOT is open to different solutions but currently has one they are willing to stand behind. Other options can be considered if presented.</w:t>
      </w:r>
    </w:p>
    <w:p w14:paraId="4888C9DE" w14:textId="3B4A4DA3" w:rsidR="00E4672B" w:rsidRDefault="00E4672B" w:rsidP="0021047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 w:rsidRPr="00E4672B">
        <w:rPr>
          <w:rFonts w:ascii="TradeGothic LT" w:hAnsi="TradeGothic LT"/>
          <w:b/>
          <w:sz w:val="21"/>
          <w:szCs w:val="21"/>
        </w:rPr>
        <w:t>Action Item:</w:t>
      </w:r>
    </w:p>
    <w:p w14:paraId="3F69F65B" w14:textId="3F6BA257" w:rsidR="004734AC" w:rsidRPr="00AA10E5" w:rsidRDefault="00650213" w:rsidP="00210478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TDSPs to formulate a technical approach to when loss compensation is needed to help frame protocol lan</w:t>
      </w:r>
      <w:r w:rsidR="000B7175">
        <w:rPr>
          <w:rFonts w:ascii="TradeGothic LT" w:hAnsi="TradeGothic LT"/>
          <w:sz w:val="21"/>
          <w:szCs w:val="21"/>
        </w:rPr>
        <w:t>guage.</w:t>
      </w:r>
    </w:p>
    <w:p w14:paraId="4F689E34" w14:textId="77777777" w:rsidR="004734AC" w:rsidRDefault="004734AC" w:rsidP="004734AC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07661F7D" w14:textId="7B8A0508" w:rsidR="004734AC" w:rsidRDefault="004734AC" w:rsidP="004734A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sz w:val="21"/>
          <w:szCs w:val="21"/>
        </w:rPr>
        <w:t>Darrell S. asked for any new items</w:t>
      </w:r>
    </w:p>
    <w:p w14:paraId="5F9A8DFC" w14:textId="7D73CBCB" w:rsidR="00CE0B73" w:rsidRPr="00AA10E5" w:rsidRDefault="00AA10E5" w:rsidP="00AA10E5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There were none presented</w:t>
      </w:r>
    </w:p>
    <w:p w14:paraId="46500895" w14:textId="77777777" w:rsidR="004734AC" w:rsidRPr="00621E7D" w:rsidRDefault="004734AC" w:rsidP="00CE0B73">
      <w:pPr>
        <w:pStyle w:val="NormalWeb"/>
        <w:spacing w:before="0" w:beforeAutospacing="0" w:after="0" w:afterAutospacing="0"/>
        <w:ind w:left="1440"/>
        <w:rPr>
          <w:rFonts w:ascii="TradeGothic LT" w:hAnsi="TradeGothic LT"/>
          <w:sz w:val="21"/>
          <w:szCs w:val="21"/>
        </w:rPr>
      </w:pPr>
    </w:p>
    <w:p w14:paraId="4C911924" w14:textId="753992A6" w:rsidR="00870098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>Meeting Summary and Closing Remarks</w:t>
      </w:r>
      <w:r w:rsidR="00153EF4" w:rsidRPr="00A056D5">
        <w:rPr>
          <w:rFonts w:ascii="TradeGothic LT" w:hAnsi="TradeGothic LT"/>
          <w:color w:val="000000"/>
          <w:sz w:val="21"/>
          <w:szCs w:val="21"/>
        </w:rPr>
        <w:t xml:space="preserve">: 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Darrell S.</w:t>
      </w:r>
    </w:p>
    <w:p w14:paraId="3C6965E2" w14:textId="60A76828" w:rsidR="00404B2B" w:rsidRPr="00750139" w:rsidRDefault="00490ECD" w:rsidP="00AA10E5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 xml:space="preserve">Darrell S. </w:t>
      </w:r>
      <w:r w:rsidR="00AA10E5">
        <w:rPr>
          <w:rFonts w:ascii="TradeGothic LT" w:hAnsi="TradeGothic LT"/>
          <w:color w:val="000000"/>
          <w:sz w:val="21"/>
          <w:szCs w:val="21"/>
        </w:rPr>
        <w:t>summarized the meeting and the one action</w:t>
      </w:r>
      <w:r w:rsidR="0007799E">
        <w:rPr>
          <w:rFonts w:ascii="TradeGothic LT" w:hAnsi="TradeGothic LT"/>
          <w:color w:val="000000"/>
          <w:sz w:val="21"/>
          <w:szCs w:val="21"/>
        </w:rPr>
        <w:t xml:space="preserve"> from</w:t>
      </w:r>
      <w:r w:rsidR="00AA10E5">
        <w:rPr>
          <w:rFonts w:ascii="TradeGothic LT" w:hAnsi="TradeGothic LT"/>
          <w:color w:val="000000"/>
          <w:sz w:val="21"/>
          <w:szCs w:val="21"/>
        </w:rPr>
        <w:t xml:space="preserve"> item</w:t>
      </w:r>
      <w:r w:rsidR="0007799E">
        <w:rPr>
          <w:rFonts w:ascii="TradeGothic LT" w:hAnsi="TradeGothic LT"/>
          <w:color w:val="000000"/>
          <w:sz w:val="21"/>
          <w:szCs w:val="21"/>
        </w:rPr>
        <w:t xml:space="preserve"> #7.</w:t>
      </w:r>
    </w:p>
    <w:p w14:paraId="4C7D3E9E" w14:textId="71391671" w:rsidR="00621E7D" w:rsidRDefault="00621E7D" w:rsidP="00621E7D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b/>
          <w:sz w:val="21"/>
          <w:szCs w:val="21"/>
        </w:rPr>
        <w:t>Action Item</w:t>
      </w:r>
      <w:r w:rsidR="00B923AD">
        <w:rPr>
          <w:rFonts w:ascii="TradeGothic LT" w:hAnsi="TradeGothic LT"/>
          <w:b/>
          <w:sz w:val="21"/>
          <w:szCs w:val="21"/>
        </w:rPr>
        <w:t xml:space="preserve"> from #7</w:t>
      </w:r>
      <w:r w:rsidRPr="00A056D5">
        <w:rPr>
          <w:rFonts w:ascii="TradeGothic LT" w:hAnsi="TradeGothic LT"/>
          <w:b/>
          <w:sz w:val="21"/>
          <w:szCs w:val="21"/>
        </w:rPr>
        <w:t>:</w:t>
      </w:r>
      <w:r w:rsidRPr="00A056D5">
        <w:rPr>
          <w:rFonts w:ascii="TradeGothic LT" w:hAnsi="TradeGothic LT"/>
          <w:sz w:val="21"/>
          <w:szCs w:val="21"/>
        </w:rPr>
        <w:t xml:space="preserve"> </w:t>
      </w:r>
    </w:p>
    <w:p w14:paraId="1E4AF843" w14:textId="77777777" w:rsidR="0007799E" w:rsidRPr="00AA10E5" w:rsidRDefault="0007799E" w:rsidP="0007799E">
      <w:pPr>
        <w:pStyle w:val="NormalWeb"/>
        <w:numPr>
          <w:ilvl w:val="3"/>
          <w:numId w:val="1"/>
        </w:numPr>
        <w:spacing w:before="0" w:beforeAutospacing="0" w:after="0" w:afterAutospacing="0"/>
        <w:rPr>
          <w:rFonts w:ascii="TradeGothic LT" w:hAnsi="TradeGothic LT"/>
          <w:b/>
          <w:sz w:val="21"/>
          <w:szCs w:val="21"/>
        </w:rPr>
      </w:pPr>
      <w:r>
        <w:rPr>
          <w:rFonts w:ascii="TradeGothic LT" w:hAnsi="TradeGothic LT"/>
          <w:sz w:val="21"/>
          <w:szCs w:val="21"/>
        </w:rPr>
        <w:t>TDSPs to formulate a technical approach to when loss compensation is needed to help frame protocol language.</w:t>
      </w:r>
    </w:p>
    <w:p w14:paraId="0390BDEE" w14:textId="77777777" w:rsidR="00044A20" w:rsidRPr="00A056D5" w:rsidRDefault="00044A20" w:rsidP="00621E7D">
      <w:pPr>
        <w:pStyle w:val="NormalWeb"/>
        <w:spacing w:before="0" w:beforeAutospacing="0" w:after="0" w:afterAutospacing="0"/>
        <w:rPr>
          <w:rFonts w:ascii="TradeGothic LT" w:hAnsi="TradeGothic LT"/>
          <w:sz w:val="21"/>
          <w:szCs w:val="21"/>
        </w:rPr>
      </w:pPr>
    </w:p>
    <w:p w14:paraId="7B945959" w14:textId="1E95EE54" w:rsidR="00493217" w:rsidRPr="00A056D5" w:rsidRDefault="009010DD" w:rsidP="00044A20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radeGothic LT" w:hAnsi="TradeGothic LT"/>
          <w:sz w:val="21"/>
          <w:szCs w:val="21"/>
        </w:rPr>
      </w:pPr>
      <w:r w:rsidRPr="00A056D5">
        <w:rPr>
          <w:rFonts w:ascii="TradeGothic LT" w:hAnsi="TradeGothic LT"/>
          <w:color w:val="000000"/>
          <w:sz w:val="21"/>
          <w:szCs w:val="21"/>
        </w:rPr>
        <w:t xml:space="preserve">End of Meeting 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(</w:t>
      </w:r>
      <w:r w:rsidR="0007799E">
        <w:rPr>
          <w:rFonts w:ascii="TradeGothic LT" w:hAnsi="TradeGothic LT"/>
          <w:color w:val="000000"/>
          <w:sz w:val="21"/>
          <w:szCs w:val="21"/>
        </w:rPr>
        <w:t>10</w:t>
      </w:r>
      <w:r w:rsidR="00324C25" w:rsidRPr="00A056D5">
        <w:rPr>
          <w:rFonts w:ascii="TradeGothic LT" w:hAnsi="TradeGothic LT"/>
          <w:color w:val="000000"/>
          <w:sz w:val="21"/>
          <w:szCs w:val="21"/>
        </w:rPr>
        <w:t>:</w:t>
      </w:r>
      <w:r w:rsidR="0007799E">
        <w:rPr>
          <w:rFonts w:ascii="TradeGothic LT" w:hAnsi="TradeGothic LT"/>
          <w:color w:val="000000"/>
          <w:sz w:val="21"/>
          <w:szCs w:val="21"/>
        </w:rPr>
        <w:t>18</w:t>
      </w:r>
      <w:r w:rsidR="005B5CEE" w:rsidRPr="00A056D5">
        <w:rPr>
          <w:rFonts w:ascii="TradeGothic LT" w:hAnsi="TradeGothic LT"/>
          <w:color w:val="000000"/>
          <w:sz w:val="21"/>
          <w:szCs w:val="21"/>
        </w:rPr>
        <w:t>)</w:t>
      </w:r>
    </w:p>
    <w:sectPr w:rsidR="00493217" w:rsidRPr="00A056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C8"/>
    <w:multiLevelType w:val="hybridMultilevel"/>
    <w:tmpl w:val="EF065F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A447A57"/>
    <w:multiLevelType w:val="hybridMultilevel"/>
    <w:tmpl w:val="E536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DD"/>
    <w:rsid w:val="0000313F"/>
    <w:rsid w:val="000043E7"/>
    <w:rsid w:val="00032FC1"/>
    <w:rsid w:val="0004359C"/>
    <w:rsid w:val="00044A20"/>
    <w:rsid w:val="0007455A"/>
    <w:rsid w:val="000769CA"/>
    <w:rsid w:val="0007799E"/>
    <w:rsid w:val="000B61D6"/>
    <w:rsid w:val="000B7175"/>
    <w:rsid w:val="000C3240"/>
    <w:rsid w:val="000E733E"/>
    <w:rsid w:val="000F7984"/>
    <w:rsid w:val="00102AB9"/>
    <w:rsid w:val="00111166"/>
    <w:rsid w:val="0011338F"/>
    <w:rsid w:val="0014220B"/>
    <w:rsid w:val="00153EF4"/>
    <w:rsid w:val="00171205"/>
    <w:rsid w:val="00174D1D"/>
    <w:rsid w:val="00184D2D"/>
    <w:rsid w:val="0019795B"/>
    <w:rsid w:val="001A0A5F"/>
    <w:rsid w:val="001A3914"/>
    <w:rsid w:val="001A3EF9"/>
    <w:rsid w:val="001B0C6D"/>
    <w:rsid w:val="001B4B49"/>
    <w:rsid w:val="001C6DD8"/>
    <w:rsid w:val="001F14E4"/>
    <w:rsid w:val="002014F2"/>
    <w:rsid w:val="00210478"/>
    <w:rsid w:val="00217A2B"/>
    <w:rsid w:val="0023011A"/>
    <w:rsid w:val="00246D2A"/>
    <w:rsid w:val="00263D93"/>
    <w:rsid w:val="00275040"/>
    <w:rsid w:val="002B4E62"/>
    <w:rsid w:val="002D329A"/>
    <w:rsid w:val="002D6A51"/>
    <w:rsid w:val="002E27A3"/>
    <w:rsid w:val="002F4BB8"/>
    <w:rsid w:val="002F7495"/>
    <w:rsid w:val="00302D97"/>
    <w:rsid w:val="0031246D"/>
    <w:rsid w:val="0031584B"/>
    <w:rsid w:val="00324C25"/>
    <w:rsid w:val="0035426A"/>
    <w:rsid w:val="00356DD1"/>
    <w:rsid w:val="00377384"/>
    <w:rsid w:val="00385E36"/>
    <w:rsid w:val="00392D6B"/>
    <w:rsid w:val="00397913"/>
    <w:rsid w:val="003A38B8"/>
    <w:rsid w:val="003A6A54"/>
    <w:rsid w:val="003C27E3"/>
    <w:rsid w:val="003C4D82"/>
    <w:rsid w:val="003D3312"/>
    <w:rsid w:val="003D5B53"/>
    <w:rsid w:val="003E46D3"/>
    <w:rsid w:val="00404B2B"/>
    <w:rsid w:val="00407B8F"/>
    <w:rsid w:val="004237AE"/>
    <w:rsid w:val="0046615E"/>
    <w:rsid w:val="00472762"/>
    <w:rsid w:val="004730C7"/>
    <w:rsid w:val="004734AC"/>
    <w:rsid w:val="00490ECD"/>
    <w:rsid w:val="00493217"/>
    <w:rsid w:val="004C3608"/>
    <w:rsid w:val="004E462D"/>
    <w:rsid w:val="0050072C"/>
    <w:rsid w:val="00512A02"/>
    <w:rsid w:val="00542855"/>
    <w:rsid w:val="00551065"/>
    <w:rsid w:val="00561E6B"/>
    <w:rsid w:val="00567D6D"/>
    <w:rsid w:val="005730B8"/>
    <w:rsid w:val="00583A94"/>
    <w:rsid w:val="00591480"/>
    <w:rsid w:val="005A287D"/>
    <w:rsid w:val="005A3AA3"/>
    <w:rsid w:val="005B5B6A"/>
    <w:rsid w:val="005B5CEE"/>
    <w:rsid w:val="005C2E2B"/>
    <w:rsid w:val="005D3F5D"/>
    <w:rsid w:val="005D5946"/>
    <w:rsid w:val="005F7702"/>
    <w:rsid w:val="00606D50"/>
    <w:rsid w:val="00621E7D"/>
    <w:rsid w:val="006316E6"/>
    <w:rsid w:val="00631E07"/>
    <w:rsid w:val="00633977"/>
    <w:rsid w:val="00634411"/>
    <w:rsid w:val="00646E1D"/>
    <w:rsid w:val="00650213"/>
    <w:rsid w:val="00651CF8"/>
    <w:rsid w:val="00655981"/>
    <w:rsid w:val="006738A0"/>
    <w:rsid w:val="006848DC"/>
    <w:rsid w:val="006B17D1"/>
    <w:rsid w:val="006D4117"/>
    <w:rsid w:val="006D563A"/>
    <w:rsid w:val="006F71A1"/>
    <w:rsid w:val="00703ACD"/>
    <w:rsid w:val="007343A7"/>
    <w:rsid w:val="007422E8"/>
    <w:rsid w:val="00750139"/>
    <w:rsid w:val="00753818"/>
    <w:rsid w:val="0077709F"/>
    <w:rsid w:val="007B06D2"/>
    <w:rsid w:val="007B097B"/>
    <w:rsid w:val="007C358B"/>
    <w:rsid w:val="007D0324"/>
    <w:rsid w:val="007D2E27"/>
    <w:rsid w:val="007D2ED7"/>
    <w:rsid w:val="007E1F56"/>
    <w:rsid w:val="007E277B"/>
    <w:rsid w:val="008455B8"/>
    <w:rsid w:val="00852670"/>
    <w:rsid w:val="008628B9"/>
    <w:rsid w:val="00870098"/>
    <w:rsid w:val="008824AD"/>
    <w:rsid w:val="008878BE"/>
    <w:rsid w:val="008C62F5"/>
    <w:rsid w:val="008D4E18"/>
    <w:rsid w:val="008E25F0"/>
    <w:rsid w:val="009010DD"/>
    <w:rsid w:val="00911840"/>
    <w:rsid w:val="00943D0E"/>
    <w:rsid w:val="00951DEB"/>
    <w:rsid w:val="00954EFC"/>
    <w:rsid w:val="0096358F"/>
    <w:rsid w:val="00965F14"/>
    <w:rsid w:val="00966EF8"/>
    <w:rsid w:val="0097518A"/>
    <w:rsid w:val="0098249F"/>
    <w:rsid w:val="009979F7"/>
    <w:rsid w:val="009E3358"/>
    <w:rsid w:val="009F7FD6"/>
    <w:rsid w:val="00A056D5"/>
    <w:rsid w:val="00A22725"/>
    <w:rsid w:val="00A4710C"/>
    <w:rsid w:val="00A5538E"/>
    <w:rsid w:val="00A624D1"/>
    <w:rsid w:val="00A82080"/>
    <w:rsid w:val="00AA10E5"/>
    <w:rsid w:val="00AC6F06"/>
    <w:rsid w:val="00AF11F1"/>
    <w:rsid w:val="00AF3D2E"/>
    <w:rsid w:val="00AF418C"/>
    <w:rsid w:val="00B14E32"/>
    <w:rsid w:val="00B301E9"/>
    <w:rsid w:val="00B61B00"/>
    <w:rsid w:val="00B923AD"/>
    <w:rsid w:val="00B92EEE"/>
    <w:rsid w:val="00BE348C"/>
    <w:rsid w:val="00BE5D75"/>
    <w:rsid w:val="00C35C66"/>
    <w:rsid w:val="00C80333"/>
    <w:rsid w:val="00CA51B9"/>
    <w:rsid w:val="00CE0B73"/>
    <w:rsid w:val="00CF71B0"/>
    <w:rsid w:val="00D03190"/>
    <w:rsid w:val="00D342CA"/>
    <w:rsid w:val="00D403BF"/>
    <w:rsid w:val="00D43DF9"/>
    <w:rsid w:val="00DB4D46"/>
    <w:rsid w:val="00DE0314"/>
    <w:rsid w:val="00DE373F"/>
    <w:rsid w:val="00DF0405"/>
    <w:rsid w:val="00DF4E48"/>
    <w:rsid w:val="00DF77DA"/>
    <w:rsid w:val="00E2029A"/>
    <w:rsid w:val="00E34700"/>
    <w:rsid w:val="00E37FED"/>
    <w:rsid w:val="00E4672B"/>
    <w:rsid w:val="00E54B80"/>
    <w:rsid w:val="00E750DD"/>
    <w:rsid w:val="00E936D5"/>
    <w:rsid w:val="00EB48A8"/>
    <w:rsid w:val="00EB791B"/>
    <w:rsid w:val="00EC5E04"/>
    <w:rsid w:val="00ED2372"/>
    <w:rsid w:val="00EE2335"/>
    <w:rsid w:val="00EE3D47"/>
    <w:rsid w:val="00F2364B"/>
    <w:rsid w:val="00F50BE0"/>
    <w:rsid w:val="00F8143D"/>
    <w:rsid w:val="00F81805"/>
    <w:rsid w:val="00FA248C"/>
    <w:rsid w:val="00FA4BFF"/>
    <w:rsid w:val="00FE6566"/>
    <w:rsid w:val="00FE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D5A2"/>
  <w15:docId w15:val="{4C502342-A156-4735-8A97-3880D2B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F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3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A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A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A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A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1FD83-BFF5-4F58-99B9-E6AD8A8C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Tony</dc:creator>
  <cp:lastModifiedBy>Maul, Donald</cp:lastModifiedBy>
  <cp:revision>2</cp:revision>
  <dcterms:created xsi:type="dcterms:W3CDTF">2019-05-14T15:11:00Z</dcterms:created>
  <dcterms:modified xsi:type="dcterms:W3CDTF">2019-05-14T15:11:00Z</dcterms:modified>
</cp:coreProperties>
</file>