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E1C3E" w14:textId="31BDFD7B" w:rsidR="00387971" w:rsidRDefault="00387971" w:rsidP="00002163">
      <w:pPr>
        <w:jc w:val="right"/>
      </w:pPr>
    </w:p>
    <w:p w14:paraId="3F8A9D1A" w14:textId="6D39C64B" w:rsidR="00152DC6" w:rsidRDefault="00A51DF9" w:rsidP="00525756">
      <w:pPr>
        <w:pStyle w:val="Heading1"/>
        <w:numPr>
          <w:ilvl w:val="0"/>
          <w:numId w:val="0"/>
        </w:numPr>
        <w:spacing w:after="0"/>
        <w:ind w:left="360" w:hanging="360"/>
        <w:jc w:val="both"/>
      </w:pPr>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127236462"/>
      <w:bookmarkStart w:id="248" w:name="_Toc1197433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 xml:space="preserve">PUCT Directive #3 </w:t>
      </w:r>
      <w:r w:rsidR="00152DC6">
        <w:t>Sou</w:t>
      </w:r>
      <w:r>
        <w:t>thern Cross Transmission DC Tie</w:t>
      </w:r>
    </w:p>
    <w:p w14:paraId="43B9D46C" w14:textId="076C1865" w:rsidR="00152DC6" w:rsidRPr="000A2096" w:rsidRDefault="00BD4D0B" w:rsidP="00152DC6">
      <w:pPr>
        <w:tabs>
          <w:tab w:val="left" w:pos="7836"/>
        </w:tabs>
        <w:jc w:val="both"/>
        <w:rPr>
          <w:i/>
        </w:rPr>
      </w:pPr>
      <w:r w:rsidRPr="000A2096">
        <w:rPr>
          <w:i/>
        </w:rPr>
        <w:t>“</w:t>
      </w:r>
      <w:r w:rsidR="00152DC6" w:rsidRPr="000A2096">
        <w:rPr>
          <w:i/>
        </w:rPr>
        <w:t>ERCOT shall determine what ramp rate restrictions, if any, will be necessary to accommodate the interconnection of the Southern Cross DC tie and shall implement those restrictions and shall certify to the Commission when it has completed these actions.</w:t>
      </w:r>
      <w:r w:rsidRPr="000A2096">
        <w:rPr>
          <w:i/>
        </w:rPr>
        <w:t>”</w:t>
      </w:r>
    </w:p>
    <w:p w14:paraId="4F96B57A" w14:textId="77777777" w:rsidR="00152DC6" w:rsidRPr="00E24DA5" w:rsidRDefault="00152DC6" w:rsidP="00525756">
      <w:pPr>
        <w:pStyle w:val="Heading1"/>
        <w:numPr>
          <w:ilvl w:val="0"/>
          <w:numId w:val="0"/>
        </w:numPr>
        <w:spacing w:after="0"/>
        <w:ind w:left="360" w:hanging="360"/>
        <w:jc w:val="both"/>
      </w:pPr>
      <w:r w:rsidRPr="00E24DA5">
        <w:t>Objective</w:t>
      </w:r>
    </w:p>
    <w:p w14:paraId="63BCEDDF" w14:textId="4E74C815" w:rsidR="00152DC6" w:rsidRPr="00152DC6" w:rsidRDefault="00837F7A" w:rsidP="00152DC6">
      <w:pPr>
        <w:tabs>
          <w:tab w:val="left" w:pos="7836"/>
        </w:tabs>
        <w:jc w:val="both"/>
      </w:pPr>
      <w:r>
        <w:t>Upon</w:t>
      </w:r>
      <w:r w:rsidRPr="00152DC6">
        <w:t xml:space="preserve"> </w:t>
      </w:r>
      <w:r w:rsidR="00152DC6" w:rsidRPr="00152DC6">
        <w:t>the interconnection of Southern Cross Transmission DC Tie</w:t>
      </w:r>
      <w:r>
        <w:t>,</w:t>
      </w:r>
      <w:r w:rsidR="00152DC6" w:rsidRPr="00152DC6">
        <w:t xml:space="preserve"> there is a potential of a 4</w:t>
      </w:r>
      <w:r w:rsidR="00BD4D0B">
        <w:t>1</w:t>
      </w:r>
      <w:r w:rsidR="00152DC6" w:rsidRPr="00152DC6">
        <w:t xml:space="preserve">00 MW change in the DC </w:t>
      </w:r>
      <w:r>
        <w:t>t</w:t>
      </w:r>
      <w:r w:rsidR="00152DC6" w:rsidRPr="00152DC6">
        <w:t xml:space="preserve">ie’s schedule (from maximum export to maximum import). </w:t>
      </w:r>
      <w:r>
        <w:t xml:space="preserve">In order to determine whether </w:t>
      </w:r>
      <w:r w:rsidRPr="00837F7A">
        <w:t>ramp rate restrictions</w:t>
      </w:r>
      <w:r>
        <w:t xml:space="preserve"> </w:t>
      </w:r>
      <w:r w:rsidR="000A7720">
        <w:t>should</w:t>
      </w:r>
      <w:r>
        <w:t xml:space="preserve"> be imposed on the DC tie</w:t>
      </w:r>
      <w:r w:rsidR="00152DC6" w:rsidRPr="00152DC6">
        <w:t>, the impact to ERCOT’s net load variability due to a DC tie ramp of this magnitude</w:t>
      </w:r>
      <w:r w:rsidR="00622CFF">
        <w:t>,</w:t>
      </w:r>
      <w:r w:rsidR="00152DC6" w:rsidRPr="00152DC6">
        <w:t xml:space="preserve"> </w:t>
      </w:r>
      <w:r w:rsidR="00622CFF">
        <w:t>as well as</w:t>
      </w:r>
      <w:r w:rsidR="00622CFF" w:rsidRPr="00152DC6">
        <w:t xml:space="preserve"> </w:t>
      </w:r>
      <w:r w:rsidR="00152DC6" w:rsidRPr="00152DC6">
        <w:t xml:space="preserve">the impact on ERCOT’s ability to recover from </w:t>
      </w:r>
      <w:r>
        <w:t>f</w:t>
      </w:r>
      <w:r w:rsidRPr="00152DC6">
        <w:t xml:space="preserve">requency </w:t>
      </w:r>
      <w:r w:rsidR="00152DC6" w:rsidRPr="00152DC6">
        <w:t xml:space="preserve">events </w:t>
      </w:r>
      <w:r w:rsidR="00622CFF">
        <w:t>such as</w:t>
      </w:r>
      <w:r w:rsidR="00622CFF" w:rsidRPr="00152DC6">
        <w:t xml:space="preserve"> </w:t>
      </w:r>
      <w:r w:rsidR="00152DC6" w:rsidRPr="00152DC6">
        <w:t>Reportable Balancing Contingency Events during the DC Tie ramps</w:t>
      </w:r>
      <w:r w:rsidR="00622CFF">
        <w:t>,</w:t>
      </w:r>
      <w:r w:rsidR="00152DC6" w:rsidRPr="00152DC6">
        <w:t xml:space="preserve"> will be </w:t>
      </w:r>
      <w:r w:rsidR="000A7720">
        <w:t xml:space="preserve">studied and </w:t>
      </w:r>
      <w:r w:rsidR="00152DC6" w:rsidRPr="00152DC6">
        <w:t xml:space="preserve">evaluated. </w:t>
      </w:r>
    </w:p>
    <w:p w14:paraId="61FE7B12" w14:textId="77777777" w:rsidR="00152DC6" w:rsidRPr="00152DC6" w:rsidRDefault="00152DC6" w:rsidP="00152DC6">
      <w:pPr>
        <w:tabs>
          <w:tab w:val="left" w:pos="7836"/>
        </w:tabs>
        <w:jc w:val="both"/>
      </w:pPr>
    </w:p>
    <w:p w14:paraId="7AC4536D" w14:textId="3A98A349" w:rsidR="00152DC6" w:rsidRPr="00152DC6" w:rsidRDefault="00152DC6" w:rsidP="00152DC6">
      <w:pPr>
        <w:tabs>
          <w:tab w:val="left" w:pos="7836"/>
        </w:tabs>
        <w:jc w:val="both"/>
      </w:pPr>
      <w:r w:rsidRPr="00152DC6">
        <w:t xml:space="preserve">Below are </w:t>
      </w:r>
      <w:r w:rsidR="00837F7A">
        <w:t>links to</w:t>
      </w:r>
      <w:r w:rsidR="00837F7A" w:rsidRPr="00152DC6">
        <w:t xml:space="preserve"> </w:t>
      </w:r>
      <w:r w:rsidR="00BD4D0B">
        <w:t xml:space="preserve">some </w:t>
      </w:r>
      <w:r w:rsidRPr="00152DC6">
        <w:t xml:space="preserve">background documents to aid the </w:t>
      </w:r>
      <w:r w:rsidR="00837F7A">
        <w:t xml:space="preserve">initial </w:t>
      </w:r>
      <w:r w:rsidRPr="00152DC6">
        <w:t>discussion o</w:t>
      </w:r>
      <w:r w:rsidR="00837F7A">
        <w:t>f</w:t>
      </w:r>
      <w:r w:rsidRPr="00152DC6">
        <w:t xml:space="preserve"> this directive.</w:t>
      </w:r>
    </w:p>
    <w:p w14:paraId="58C18065" w14:textId="77777777" w:rsidR="00152DC6" w:rsidRPr="00152DC6" w:rsidRDefault="00152DC6" w:rsidP="00525756">
      <w:pPr>
        <w:pStyle w:val="Heading1"/>
        <w:numPr>
          <w:ilvl w:val="0"/>
          <w:numId w:val="0"/>
        </w:numPr>
        <w:spacing w:after="0"/>
        <w:ind w:left="360" w:hanging="360"/>
        <w:jc w:val="both"/>
      </w:pPr>
      <w:r w:rsidRPr="00152DC6">
        <w:t>Background Documents</w:t>
      </w:r>
    </w:p>
    <w:p w14:paraId="12679004" w14:textId="2723F363" w:rsidR="00152DC6" w:rsidRPr="00C73C27" w:rsidRDefault="009A48E1" w:rsidP="00152DC6">
      <w:pPr>
        <w:pStyle w:val="ListParagraph"/>
        <w:numPr>
          <w:ilvl w:val="0"/>
          <w:numId w:val="28"/>
        </w:numPr>
        <w:autoSpaceDE/>
        <w:autoSpaceDN/>
        <w:adjustRightInd/>
        <w:spacing w:after="160" w:line="259" w:lineRule="auto"/>
        <w:rPr>
          <w:rStyle w:val="Hyperlink"/>
          <w:rFonts w:cs="Arial"/>
          <w:color w:val="172B4D"/>
        </w:rPr>
      </w:pPr>
      <w:hyperlink r:id="rId11" w:history="1">
        <w:r w:rsidR="00152DC6" w:rsidRPr="00C73C27">
          <w:rPr>
            <w:rStyle w:val="Hyperlink"/>
            <w:rFonts w:cs="Arial"/>
          </w:rPr>
          <w:t>DC Tie Operating Procedure</w:t>
        </w:r>
      </w:hyperlink>
    </w:p>
    <w:p w14:paraId="6BB3897E" w14:textId="0CDF7641" w:rsidR="005500CE" w:rsidRPr="00460861" w:rsidRDefault="005500CE" w:rsidP="005500CE">
      <w:pPr>
        <w:pStyle w:val="ListParagraph"/>
        <w:numPr>
          <w:ilvl w:val="0"/>
          <w:numId w:val="28"/>
        </w:numPr>
        <w:autoSpaceDE/>
        <w:autoSpaceDN/>
        <w:adjustRightInd/>
        <w:spacing w:after="160" w:line="259" w:lineRule="auto"/>
        <w:rPr>
          <w:rFonts w:ascii="Arial" w:hAnsi="Arial" w:cs="Arial"/>
          <w:color w:val="172B4D"/>
        </w:rPr>
      </w:pPr>
      <w:hyperlink r:id="rId12" w:anchor="page=386" w:history="1">
        <w:r w:rsidRPr="005500CE">
          <w:rPr>
            <w:rStyle w:val="Hyperlink"/>
            <w:rFonts w:cs="Arial"/>
          </w:rPr>
          <w:t>Nodal Protocol Section 4.4.4 DC Tie Schedules</w:t>
        </w:r>
      </w:hyperlink>
      <w:r w:rsidRPr="00460861">
        <w:rPr>
          <w:rFonts w:ascii="Arial" w:hAnsi="Arial" w:cs="Arial"/>
          <w:color w:val="172B4D"/>
        </w:rPr>
        <w:t xml:space="preserve"> </w:t>
      </w:r>
    </w:p>
    <w:p w14:paraId="61AE9391" w14:textId="77777777" w:rsidR="005500CE" w:rsidRPr="00460861" w:rsidRDefault="005500CE" w:rsidP="005500CE">
      <w:pPr>
        <w:pStyle w:val="ListParagraph"/>
        <w:numPr>
          <w:ilvl w:val="0"/>
          <w:numId w:val="28"/>
        </w:numPr>
        <w:autoSpaceDE/>
        <w:autoSpaceDN/>
        <w:adjustRightInd/>
        <w:spacing w:after="160" w:line="259" w:lineRule="auto"/>
        <w:rPr>
          <w:rFonts w:ascii="Arial" w:hAnsi="Arial" w:cs="Arial"/>
          <w:color w:val="172B4D"/>
        </w:rPr>
      </w:pPr>
      <w:r w:rsidRPr="00460861">
        <w:rPr>
          <w:rFonts w:ascii="Arial" w:hAnsi="Arial"/>
          <w:color w:val="172B4D"/>
        </w:rPr>
        <w:t>NAESB-WEC-004</w:t>
      </w:r>
    </w:p>
    <w:p w14:paraId="2A0C9D74" w14:textId="45555421" w:rsidR="00152DC6" w:rsidRPr="00BB1B81" w:rsidRDefault="0057063F" w:rsidP="00152DC6">
      <w:pPr>
        <w:pStyle w:val="ListParagraph"/>
        <w:numPr>
          <w:ilvl w:val="0"/>
          <w:numId w:val="28"/>
        </w:numPr>
        <w:autoSpaceDE/>
        <w:autoSpaceDN/>
        <w:adjustRightInd/>
        <w:spacing w:after="160" w:line="259" w:lineRule="auto"/>
        <w:rPr>
          <w:rFonts w:ascii="Arial" w:hAnsi="Arial" w:cs="Arial"/>
          <w:color w:val="172B4D"/>
        </w:rPr>
      </w:pPr>
      <w:hyperlink r:id="rId13" w:anchor="page=964" w:history="1">
        <w:r w:rsidR="00152DC6" w:rsidRPr="0057063F">
          <w:rPr>
            <w:rStyle w:val="Hyperlink"/>
            <w:rFonts w:cs="Arial"/>
          </w:rPr>
          <w:t>NERC Standard</w:t>
        </w:r>
      </w:hyperlink>
      <w:r w:rsidR="00152DC6" w:rsidRPr="00BB1B81">
        <w:rPr>
          <w:rFonts w:ascii="Arial" w:hAnsi="Arial" w:cs="Arial"/>
          <w:color w:val="172B4D"/>
        </w:rPr>
        <w:t xml:space="preserve"> </w:t>
      </w:r>
      <w:hyperlink r:id="rId14" w:history="1">
        <w:r w:rsidR="00152DC6" w:rsidRPr="00BB1B81">
          <w:rPr>
            <w:rStyle w:val="Hyperlink"/>
            <w:rFonts w:cs="Arial"/>
          </w:rPr>
          <w:t>INT-006-4 ----- Evaluation of Interchange Transactions</w:t>
        </w:r>
      </w:hyperlink>
    </w:p>
    <w:p w14:paraId="4101473A" w14:textId="77777777" w:rsidR="00152DC6" w:rsidRPr="00152DC6" w:rsidRDefault="00152DC6" w:rsidP="00152DC6">
      <w:pPr>
        <w:tabs>
          <w:tab w:val="left" w:pos="7836"/>
        </w:tabs>
        <w:ind w:left="720"/>
        <w:jc w:val="both"/>
      </w:pPr>
      <w:r w:rsidRPr="00152DC6">
        <w:rPr>
          <w:b/>
        </w:rPr>
        <w:t>Purpose:</w:t>
      </w:r>
      <w:r w:rsidRPr="00152DC6">
        <w:t xml:space="preserve"> To ensure that responsible entities conduct a </w:t>
      </w:r>
      <w:r w:rsidRPr="00B35D57">
        <w:t>reliability assessment</w:t>
      </w:r>
      <w:r w:rsidRPr="00152DC6">
        <w:t xml:space="preserve"> of each Arranged Interchange before it is implemented.</w:t>
      </w:r>
    </w:p>
    <w:p w14:paraId="69165EF9" w14:textId="77777777" w:rsidR="00152DC6" w:rsidRDefault="00152DC6" w:rsidP="00152DC6">
      <w:pPr>
        <w:autoSpaceDE w:val="0"/>
        <w:autoSpaceDN w:val="0"/>
        <w:adjustRightInd w:val="0"/>
        <w:ind w:left="720"/>
        <w:jc w:val="both"/>
        <w:rPr>
          <w:rFonts w:cs="Arial"/>
          <w:b/>
          <w:bCs/>
        </w:rPr>
      </w:pPr>
    </w:p>
    <w:p w14:paraId="20D7D9B0" w14:textId="1FE94558" w:rsidR="00152DC6" w:rsidRDefault="00152DC6" w:rsidP="00152DC6">
      <w:pPr>
        <w:tabs>
          <w:tab w:val="left" w:pos="7836"/>
        </w:tabs>
        <w:ind w:left="720"/>
        <w:jc w:val="both"/>
      </w:pPr>
      <w:r w:rsidRPr="00152DC6">
        <w:rPr>
          <w:b/>
        </w:rPr>
        <w:t>Applicability:</w:t>
      </w:r>
      <w:r>
        <w:rPr>
          <w:b/>
        </w:rPr>
        <w:t xml:space="preserve"> </w:t>
      </w:r>
      <w:r w:rsidRPr="00152DC6">
        <w:t>Balancing Authority</w:t>
      </w:r>
      <w:r>
        <w:t xml:space="preserve">, </w:t>
      </w:r>
      <w:r w:rsidRPr="00152DC6">
        <w:t>Transmission Service Provider</w:t>
      </w:r>
    </w:p>
    <w:p w14:paraId="5316029B" w14:textId="77777777" w:rsidR="00152DC6" w:rsidRPr="00152DC6" w:rsidRDefault="00152DC6" w:rsidP="00152DC6">
      <w:pPr>
        <w:tabs>
          <w:tab w:val="left" w:pos="7836"/>
        </w:tabs>
        <w:ind w:left="720"/>
        <w:jc w:val="both"/>
      </w:pPr>
    </w:p>
    <w:p w14:paraId="13C6FC92" w14:textId="6737CD5E" w:rsidR="00152DC6" w:rsidRPr="00152DC6" w:rsidRDefault="00152DC6" w:rsidP="00152DC6">
      <w:pPr>
        <w:autoSpaceDE w:val="0"/>
        <w:autoSpaceDN w:val="0"/>
        <w:adjustRightInd w:val="0"/>
        <w:ind w:left="720"/>
        <w:jc w:val="both"/>
        <w:rPr>
          <w:rFonts w:cs="Arial"/>
          <w:b/>
          <w:bCs/>
          <w:color w:val="00AEC7" w:themeColor="accent1"/>
        </w:rPr>
      </w:pPr>
      <w:r w:rsidRPr="00152DC6">
        <w:rPr>
          <w:rFonts w:cs="Arial"/>
          <w:b/>
          <w:bCs/>
          <w:color w:val="00AEC7" w:themeColor="accent1"/>
        </w:rPr>
        <w:t>Requirement</w:t>
      </w:r>
      <w:r w:rsidR="003E691A">
        <w:rPr>
          <w:rFonts w:cs="Arial"/>
          <w:b/>
          <w:bCs/>
          <w:color w:val="00AEC7" w:themeColor="accent1"/>
        </w:rPr>
        <w:t>s</w:t>
      </w:r>
    </w:p>
    <w:p w14:paraId="53D43964" w14:textId="77777777" w:rsidR="00152DC6" w:rsidRPr="00152DC6" w:rsidRDefault="00152DC6" w:rsidP="00152DC6">
      <w:pPr>
        <w:tabs>
          <w:tab w:val="left" w:pos="7836"/>
        </w:tabs>
        <w:ind w:left="720"/>
        <w:jc w:val="both"/>
      </w:pPr>
      <w:r w:rsidRPr="00152DC6">
        <w:rPr>
          <w:b/>
        </w:rPr>
        <w:t>R1.</w:t>
      </w:r>
      <w:r w:rsidRPr="00152DC6">
        <w:t xml:space="preserve"> Each Balancing Authority shall approve or deny each on-time Arranged Interchange or emergency Arranged Interchange that it receives and shall do so prior to the expiration of the time period defined in Attachment 1, Column B. [Violation Risk Factor: Lower][Time Horizon: Operations Planning, Same-day Operations, Real-time Operations]</w:t>
      </w:r>
    </w:p>
    <w:p w14:paraId="0FAA8EB1" w14:textId="77777777" w:rsidR="00152DC6" w:rsidRPr="00152DC6" w:rsidRDefault="00152DC6" w:rsidP="00152DC6">
      <w:pPr>
        <w:autoSpaceDE w:val="0"/>
        <w:autoSpaceDN w:val="0"/>
        <w:adjustRightInd w:val="0"/>
        <w:ind w:left="720"/>
        <w:jc w:val="both"/>
        <w:rPr>
          <w:rFonts w:cs="Arial"/>
          <w:b/>
          <w:bCs/>
        </w:rPr>
      </w:pPr>
    </w:p>
    <w:p w14:paraId="1D30DC38" w14:textId="77777777" w:rsidR="00152DC6" w:rsidRPr="00152DC6" w:rsidRDefault="00152DC6" w:rsidP="00152DC6">
      <w:pPr>
        <w:pStyle w:val="ListParagraph"/>
        <w:numPr>
          <w:ilvl w:val="1"/>
          <w:numId w:val="27"/>
        </w:numPr>
        <w:ind w:left="1140"/>
        <w:rPr>
          <w:rFonts w:ascii="Arial" w:hAnsi="Arial" w:cs="Arial"/>
          <w:color w:val="5B6770" w:themeColor="text2"/>
        </w:rPr>
      </w:pPr>
      <w:r w:rsidRPr="00152DC6">
        <w:rPr>
          <w:rFonts w:ascii="Arial" w:hAnsi="Arial" w:cs="Arial"/>
          <w:color w:val="5B6770" w:themeColor="text2"/>
        </w:rPr>
        <w:t xml:space="preserve">Each Source and Sink Balancing Authority shall deny the Arranged Interchange or curtail Confirmed Interchange if it does </w:t>
      </w:r>
      <w:r w:rsidRPr="00B35D57">
        <w:rPr>
          <w:rFonts w:ascii="Arial" w:hAnsi="Arial" w:cs="Arial"/>
          <w:color w:val="5B6770" w:themeColor="text2"/>
        </w:rPr>
        <w:t>not expect to be capable of supporting the magnitude of the Interchange, including ramping, throughout the duration of the Arranged Interchange</w:t>
      </w:r>
      <w:r w:rsidRPr="00C73C27">
        <w:rPr>
          <w:rFonts w:ascii="Arial" w:hAnsi="Arial" w:cs="Arial"/>
          <w:color w:val="5B6770" w:themeColor="text2"/>
        </w:rPr>
        <w:t>.</w:t>
      </w:r>
    </w:p>
    <w:p w14:paraId="767D017E" w14:textId="77777777" w:rsidR="00152DC6" w:rsidRPr="00152DC6" w:rsidRDefault="00152DC6" w:rsidP="00152DC6">
      <w:pPr>
        <w:pStyle w:val="ListParagraph"/>
        <w:ind w:left="1140"/>
        <w:rPr>
          <w:rFonts w:ascii="Arial" w:hAnsi="Arial" w:cs="Arial"/>
          <w:color w:val="5B6770" w:themeColor="text2"/>
        </w:rPr>
      </w:pPr>
      <w:bookmarkStart w:id="249" w:name="_GoBack"/>
      <w:bookmarkEnd w:id="249"/>
    </w:p>
    <w:p w14:paraId="00749289" w14:textId="2A3E3DA8" w:rsidR="00FA4B21" w:rsidRPr="00A37A4C" w:rsidRDefault="00152DC6" w:rsidP="00460861">
      <w:pPr>
        <w:pStyle w:val="ListParagraph"/>
        <w:numPr>
          <w:ilvl w:val="1"/>
          <w:numId w:val="27"/>
        </w:numPr>
        <w:ind w:left="1140"/>
      </w:pPr>
      <w:r w:rsidRPr="00152DC6">
        <w:rPr>
          <w:rFonts w:ascii="Arial" w:hAnsi="Arial" w:cs="Arial"/>
          <w:color w:val="5B6770" w:themeColor="text2"/>
        </w:rPr>
        <w:t>Each Balancing Authority shall deny the Arranged Interchange or curtail Confirmed Interchange if the Scheduling Path (proper connectivity of Adjacent Balancing Authorities) between it and its Adjacent Balancing Authorities is invalid.</w:t>
      </w:r>
      <w:bookmarkEnd w:id="247"/>
      <w:bookmarkEnd w:id="248"/>
    </w:p>
    <w:sectPr w:rsidR="00FA4B21" w:rsidRPr="00A37A4C" w:rsidSect="003C5767">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110F0" w14:textId="77777777" w:rsidR="009A48E1" w:rsidRDefault="009A48E1">
      <w:r>
        <w:separator/>
      </w:r>
    </w:p>
  </w:endnote>
  <w:endnote w:type="continuationSeparator" w:id="0">
    <w:p w14:paraId="2FE59D6E" w14:textId="77777777" w:rsidR="009A48E1" w:rsidRDefault="009A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E1C8D" w14:textId="77777777" w:rsidR="001E376F" w:rsidRPr="0080518D" w:rsidRDefault="0080518D"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460861">
      <w:rPr>
        <w:noProof/>
      </w:rPr>
      <w:t>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75AAA" w14:textId="77777777" w:rsidR="009A48E1" w:rsidRDefault="009A48E1">
      <w:r>
        <w:separator/>
      </w:r>
    </w:p>
  </w:footnote>
  <w:footnote w:type="continuationSeparator" w:id="0">
    <w:p w14:paraId="61615837" w14:textId="77777777" w:rsidR="009A48E1" w:rsidRDefault="009A4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69C84" w14:textId="0A511AB6" w:rsidR="00152DC6" w:rsidRPr="00152DC6" w:rsidRDefault="00152DC6" w:rsidP="00152DC6">
    <w:pPr>
      <w:pStyle w:val="Header"/>
      <w:tabs>
        <w:tab w:val="clear" w:pos="4320"/>
        <w:tab w:val="clear" w:pos="8640"/>
        <w:tab w:val="right" w:pos="9360"/>
      </w:tabs>
      <w:rPr>
        <w:rFonts w:cs="Arial"/>
        <w:sz w:val="16"/>
        <w:szCs w:val="16"/>
      </w:rPr>
    </w:pPr>
    <w:r>
      <w:rPr>
        <w:rFonts w:cs="Arial"/>
        <w:iCs/>
        <w:color w:val="00AEC7" w:themeColor="accent1"/>
        <w:sz w:val="18"/>
        <w:szCs w:val="16"/>
      </w:rPr>
      <w:t>ERCOT Public</w:t>
    </w:r>
    <w:r>
      <w:rPr>
        <w:rFonts w:cs="Arial"/>
        <w:sz w:val="16"/>
        <w:szCs w:val="16"/>
      </w:rPr>
      <w:tab/>
    </w:r>
    <w:r>
      <w:rPr>
        <w:noProof/>
      </w:rPr>
      <w:drawing>
        <wp:inline distT="0" distB="0" distL="0" distR="0" wp14:anchorId="3D3CBA34" wp14:editId="5DC032D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65188"/>
    <w:multiLevelType w:val="hybridMultilevel"/>
    <w:tmpl w:val="05B2D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366E4F"/>
    <w:multiLevelType w:val="hybridMultilevel"/>
    <w:tmpl w:val="5706E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DA7A0A"/>
    <w:multiLevelType w:val="multilevel"/>
    <w:tmpl w:val="072A1DA0"/>
    <w:lvl w:ilvl="0">
      <w:start w:val="1"/>
      <w:numFmt w:val="decimal"/>
      <w:lvlText w:val="%1."/>
      <w:lvlJc w:val="left"/>
      <w:pPr>
        <w:ind w:left="420" w:hanging="420"/>
      </w:pPr>
      <w:rPr>
        <w:rFonts w:hint="default"/>
        <w:b/>
      </w:rPr>
    </w:lvl>
    <w:lvl w:ilvl="1">
      <w:start w:val="1"/>
      <w:numFmt w:val="decimal"/>
      <w:lvlText w:val="%1.%2."/>
      <w:lvlJc w:val="left"/>
      <w:pPr>
        <w:ind w:left="1230" w:hanging="420"/>
      </w:pPr>
      <w:rPr>
        <w:rFonts w:hint="default"/>
        <w:b/>
        <w:color w:val="5B6770" w:themeColor="text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6" w15:restartNumberingAfterBreak="0">
    <w:nsid w:val="1CE07774"/>
    <w:multiLevelType w:val="hybridMultilevel"/>
    <w:tmpl w:val="91E6B0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8" w15:restartNumberingAfterBreak="0">
    <w:nsid w:val="304A5083"/>
    <w:multiLevelType w:val="hybridMultilevel"/>
    <w:tmpl w:val="653C3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20E03"/>
    <w:multiLevelType w:val="hybridMultilevel"/>
    <w:tmpl w:val="8356F918"/>
    <w:lvl w:ilvl="0" w:tplc="AE5204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5C28C1"/>
    <w:multiLevelType w:val="hybridMultilevel"/>
    <w:tmpl w:val="A9B055B4"/>
    <w:lvl w:ilvl="0" w:tplc="21C87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7B0127C9"/>
    <w:multiLevelType w:val="hybridMultilevel"/>
    <w:tmpl w:val="02D4B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23"/>
  </w:num>
  <w:num w:numId="4">
    <w:abstractNumId w:val="24"/>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21"/>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2"/>
  </w:num>
  <w:num w:numId="21">
    <w:abstractNumId w:val="16"/>
  </w:num>
  <w:num w:numId="22">
    <w:abstractNumId w:val="12"/>
  </w:num>
  <w:num w:numId="23">
    <w:abstractNumId w:val="10"/>
  </w:num>
  <w:num w:numId="24">
    <w:abstractNumId w:val="27"/>
  </w:num>
  <w:num w:numId="25">
    <w:abstractNumId w:val="19"/>
  </w:num>
  <w:num w:numId="26">
    <w:abstractNumId w:val="20"/>
  </w:num>
  <w:num w:numId="27">
    <w:abstractNumId w:val="14"/>
  </w:num>
  <w:num w:numId="28">
    <w:abstractNumId w:val="18"/>
  </w:num>
  <w:num w:numId="29">
    <w:abstractNumId w:val="15"/>
  </w:num>
  <w:num w:numId="3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2096"/>
    <w:rsid w:val="000A6C95"/>
    <w:rsid w:val="000A724A"/>
    <w:rsid w:val="000A7720"/>
    <w:rsid w:val="000B0A53"/>
    <w:rsid w:val="000B15BD"/>
    <w:rsid w:val="000B52F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2DC6"/>
    <w:rsid w:val="001547F4"/>
    <w:rsid w:val="00155E89"/>
    <w:rsid w:val="00165001"/>
    <w:rsid w:val="0017100B"/>
    <w:rsid w:val="00172D20"/>
    <w:rsid w:val="00177778"/>
    <w:rsid w:val="00183540"/>
    <w:rsid w:val="00183D28"/>
    <w:rsid w:val="00185C59"/>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7F2B"/>
    <w:rsid w:val="0024094C"/>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D10AF"/>
    <w:rsid w:val="002D498C"/>
    <w:rsid w:val="002D4D91"/>
    <w:rsid w:val="002D50BE"/>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B23AC"/>
    <w:rsid w:val="003B3438"/>
    <w:rsid w:val="003B3CD5"/>
    <w:rsid w:val="003B4577"/>
    <w:rsid w:val="003B59E6"/>
    <w:rsid w:val="003C0537"/>
    <w:rsid w:val="003C0B0E"/>
    <w:rsid w:val="003C2177"/>
    <w:rsid w:val="003C221E"/>
    <w:rsid w:val="003C4E29"/>
    <w:rsid w:val="003C5767"/>
    <w:rsid w:val="003D4462"/>
    <w:rsid w:val="003E67BA"/>
    <w:rsid w:val="003E691A"/>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1FAF"/>
    <w:rsid w:val="004534BD"/>
    <w:rsid w:val="00455A55"/>
    <w:rsid w:val="004573DE"/>
    <w:rsid w:val="00457BDE"/>
    <w:rsid w:val="00457E70"/>
    <w:rsid w:val="00460861"/>
    <w:rsid w:val="00460F6D"/>
    <w:rsid w:val="00461674"/>
    <w:rsid w:val="00462073"/>
    <w:rsid w:val="00462B08"/>
    <w:rsid w:val="00462B49"/>
    <w:rsid w:val="004630C0"/>
    <w:rsid w:val="004676AC"/>
    <w:rsid w:val="00467AD6"/>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2903"/>
    <w:rsid w:val="004A3138"/>
    <w:rsid w:val="004A526D"/>
    <w:rsid w:val="004A5365"/>
    <w:rsid w:val="004B0F46"/>
    <w:rsid w:val="004B114F"/>
    <w:rsid w:val="004B3F56"/>
    <w:rsid w:val="004B5B63"/>
    <w:rsid w:val="004B5C9A"/>
    <w:rsid w:val="004B7256"/>
    <w:rsid w:val="004B7B20"/>
    <w:rsid w:val="004C225A"/>
    <w:rsid w:val="004C23B0"/>
    <w:rsid w:val="004C2B1D"/>
    <w:rsid w:val="004C31F6"/>
    <w:rsid w:val="004C3A40"/>
    <w:rsid w:val="004C474C"/>
    <w:rsid w:val="004C77D1"/>
    <w:rsid w:val="004D15C0"/>
    <w:rsid w:val="004D32FD"/>
    <w:rsid w:val="004D4AD8"/>
    <w:rsid w:val="004E09FB"/>
    <w:rsid w:val="004E3C47"/>
    <w:rsid w:val="004E5B88"/>
    <w:rsid w:val="004E5C91"/>
    <w:rsid w:val="004E64CA"/>
    <w:rsid w:val="004E6C56"/>
    <w:rsid w:val="004E6DF5"/>
    <w:rsid w:val="004F5CF4"/>
    <w:rsid w:val="004F607E"/>
    <w:rsid w:val="004F6F3C"/>
    <w:rsid w:val="00500B39"/>
    <w:rsid w:val="00502A7D"/>
    <w:rsid w:val="00505374"/>
    <w:rsid w:val="005073B3"/>
    <w:rsid w:val="00517A0D"/>
    <w:rsid w:val="0052177F"/>
    <w:rsid w:val="00522097"/>
    <w:rsid w:val="0052225C"/>
    <w:rsid w:val="00522381"/>
    <w:rsid w:val="00525756"/>
    <w:rsid w:val="00525CF3"/>
    <w:rsid w:val="00527443"/>
    <w:rsid w:val="00533425"/>
    <w:rsid w:val="00534899"/>
    <w:rsid w:val="00536CB6"/>
    <w:rsid w:val="005418C2"/>
    <w:rsid w:val="00542C38"/>
    <w:rsid w:val="005453D8"/>
    <w:rsid w:val="005500CE"/>
    <w:rsid w:val="00551688"/>
    <w:rsid w:val="005640DC"/>
    <w:rsid w:val="005649AD"/>
    <w:rsid w:val="0056504D"/>
    <w:rsid w:val="00565282"/>
    <w:rsid w:val="00566A4D"/>
    <w:rsid w:val="0057063F"/>
    <w:rsid w:val="00575B31"/>
    <w:rsid w:val="00575D08"/>
    <w:rsid w:val="0058171C"/>
    <w:rsid w:val="00582334"/>
    <w:rsid w:val="0058275C"/>
    <w:rsid w:val="005832F0"/>
    <w:rsid w:val="005839FE"/>
    <w:rsid w:val="0058411B"/>
    <w:rsid w:val="005859CE"/>
    <w:rsid w:val="00594D46"/>
    <w:rsid w:val="00595F7A"/>
    <w:rsid w:val="005973B4"/>
    <w:rsid w:val="005A0CC6"/>
    <w:rsid w:val="005A0DC3"/>
    <w:rsid w:val="005A2A6D"/>
    <w:rsid w:val="005A49BC"/>
    <w:rsid w:val="005A67C6"/>
    <w:rsid w:val="005B1727"/>
    <w:rsid w:val="005B2D9C"/>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2CFF"/>
    <w:rsid w:val="00623AE6"/>
    <w:rsid w:val="0062587D"/>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7235"/>
    <w:rsid w:val="00721912"/>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EFE"/>
    <w:rsid w:val="007E604B"/>
    <w:rsid w:val="007F0FA1"/>
    <w:rsid w:val="007F4B10"/>
    <w:rsid w:val="007F4D4A"/>
    <w:rsid w:val="007F65C0"/>
    <w:rsid w:val="0080273A"/>
    <w:rsid w:val="00802847"/>
    <w:rsid w:val="00804F0C"/>
    <w:rsid w:val="0080518D"/>
    <w:rsid w:val="008112D5"/>
    <w:rsid w:val="00811871"/>
    <w:rsid w:val="008123FD"/>
    <w:rsid w:val="00817171"/>
    <w:rsid w:val="0082062E"/>
    <w:rsid w:val="00822895"/>
    <w:rsid w:val="00823868"/>
    <w:rsid w:val="00823DA8"/>
    <w:rsid w:val="00834C0F"/>
    <w:rsid w:val="00837F7A"/>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67A3F"/>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13D"/>
    <w:rsid w:val="008C4E40"/>
    <w:rsid w:val="008C6198"/>
    <w:rsid w:val="008D3283"/>
    <w:rsid w:val="008D34F7"/>
    <w:rsid w:val="008D3A6B"/>
    <w:rsid w:val="008E14EC"/>
    <w:rsid w:val="008E3AF2"/>
    <w:rsid w:val="008E5A8B"/>
    <w:rsid w:val="008E6B74"/>
    <w:rsid w:val="008F0FDA"/>
    <w:rsid w:val="008F50BB"/>
    <w:rsid w:val="008F521E"/>
    <w:rsid w:val="008F5E9F"/>
    <w:rsid w:val="008F633E"/>
    <w:rsid w:val="008F6FF2"/>
    <w:rsid w:val="009006ED"/>
    <w:rsid w:val="00901A03"/>
    <w:rsid w:val="00903D3A"/>
    <w:rsid w:val="009136F3"/>
    <w:rsid w:val="009151DA"/>
    <w:rsid w:val="00917787"/>
    <w:rsid w:val="00920733"/>
    <w:rsid w:val="009249C6"/>
    <w:rsid w:val="009348FB"/>
    <w:rsid w:val="009377E9"/>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8E1"/>
    <w:rsid w:val="009A4C07"/>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27D97"/>
    <w:rsid w:val="00A30187"/>
    <w:rsid w:val="00A30CB5"/>
    <w:rsid w:val="00A3688C"/>
    <w:rsid w:val="00A37A36"/>
    <w:rsid w:val="00A37A4C"/>
    <w:rsid w:val="00A44FED"/>
    <w:rsid w:val="00A45C9F"/>
    <w:rsid w:val="00A47C58"/>
    <w:rsid w:val="00A512B9"/>
    <w:rsid w:val="00A51B17"/>
    <w:rsid w:val="00A51DF9"/>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480D"/>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20F6B"/>
    <w:rsid w:val="00B21749"/>
    <w:rsid w:val="00B22D28"/>
    <w:rsid w:val="00B22EA7"/>
    <w:rsid w:val="00B25DC1"/>
    <w:rsid w:val="00B33B13"/>
    <w:rsid w:val="00B35D57"/>
    <w:rsid w:val="00B3669E"/>
    <w:rsid w:val="00B423D5"/>
    <w:rsid w:val="00B43C18"/>
    <w:rsid w:val="00B44532"/>
    <w:rsid w:val="00B4595F"/>
    <w:rsid w:val="00B468B2"/>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4D0B"/>
    <w:rsid w:val="00BD5032"/>
    <w:rsid w:val="00BE4AC3"/>
    <w:rsid w:val="00BE53BC"/>
    <w:rsid w:val="00BE6A48"/>
    <w:rsid w:val="00BF3340"/>
    <w:rsid w:val="00BF3708"/>
    <w:rsid w:val="00BF4973"/>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7481"/>
    <w:rsid w:val="00C67F49"/>
    <w:rsid w:val="00C71A66"/>
    <w:rsid w:val="00C73C27"/>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8B3"/>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0E76"/>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04FA"/>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4DA5"/>
    <w:rsid w:val="00E25490"/>
    <w:rsid w:val="00E30CA3"/>
    <w:rsid w:val="00E30E79"/>
    <w:rsid w:val="00E33B32"/>
    <w:rsid w:val="00E37F02"/>
    <w:rsid w:val="00E41B17"/>
    <w:rsid w:val="00E45070"/>
    <w:rsid w:val="00E453F3"/>
    <w:rsid w:val="00E45412"/>
    <w:rsid w:val="00E4661F"/>
    <w:rsid w:val="00E47D07"/>
    <w:rsid w:val="00E5253A"/>
    <w:rsid w:val="00E529AD"/>
    <w:rsid w:val="00E52BA3"/>
    <w:rsid w:val="00E608CD"/>
    <w:rsid w:val="00E63C43"/>
    <w:rsid w:val="00E6715B"/>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48D2"/>
    <w:rsid w:val="00EB4C64"/>
    <w:rsid w:val="00EB7483"/>
    <w:rsid w:val="00EC0D6F"/>
    <w:rsid w:val="00EC2DCF"/>
    <w:rsid w:val="00EC380E"/>
    <w:rsid w:val="00EC4DBB"/>
    <w:rsid w:val="00EC5327"/>
    <w:rsid w:val="00EC5BE3"/>
    <w:rsid w:val="00ED126F"/>
    <w:rsid w:val="00ED53C1"/>
    <w:rsid w:val="00ED7F1C"/>
    <w:rsid w:val="00EE059E"/>
    <w:rsid w:val="00EE12C6"/>
    <w:rsid w:val="00EE3847"/>
    <w:rsid w:val="00EE569D"/>
    <w:rsid w:val="00EF2D28"/>
    <w:rsid w:val="00EF5090"/>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47DCC"/>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2446"/>
    <w:rsid w:val="00F971E4"/>
    <w:rsid w:val="00F97D12"/>
    <w:rsid w:val="00FA1221"/>
    <w:rsid w:val="00FA286C"/>
    <w:rsid w:val="00FA3ECE"/>
    <w:rsid w:val="00FA41F8"/>
    <w:rsid w:val="00FA4B21"/>
    <w:rsid w:val="00FA5F02"/>
    <w:rsid w:val="00FA6A0D"/>
    <w:rsid w:val="00FA7033"/>
    <w:rsid w:val="00FA7179"/>
    <w:rsid w:val="00FA7F13"/>
    <w:rsid w:val="00FB0EE9"/>
    <w:rsid w:val="00FB5467"/>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E1C3E"/>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FA4B21"/>
    <w:pPr>
      <w:autoSpaceDE w:val="0"/>
      <w:autoSpaceDN w:val="0"/>
      <w:adjustRightInd w:val="0"/>
      <w:ind w:left="720"/>
      <w:contextualSpacing/>
      <w:jc w:val="both"/>
    </w:pPr>
    <w:rPr>
      <w:rFonts w:ascii="Times New Roman" w:eastAsiaTheme="minorHAnsi" w:hAnsi="Times New Roman"/>
      <w:color w:val="auto"/>
    </w:rPr>
  </w:style>
  <w:style w:type="character" w:customStyle="1" w:styleId="CommentTextChar">
    <w:name w:val="Comment Text Char"/>
    <w:basedOn w:val="DefaultParagraphFont"/>
    <w:link w:val="CommentText"/>
    <w:uiPriority w:val="99"/>
    <w:rsid w:val="00FA4B21"/>
    <w:rPr>
      <w:rFonts w:ascii="Arial" w:hAnsi="Arial"/>
      <w:color w:val="5B6770" w:themeColor="text2"/>
      <w:sz w:val="16"/>
    </w:rPr>
  </w:style>
  <w:style w:type="paragraph" w:customStyle="1" w:styleId="TableBody">
    <w:name w:val="Table Body"/>
    <w:qFormat/>
    <w:rsid w:val="00FA4B21"/>
    <w:pPr>
      <w:jc w:val="center"/>
    </w:pPr>
    <w:rPr>
      <w:rFonts w:ascii="Calibri" w:hAnsi="Calibri"/>
      <w:sz w:val="24"/>
      <w:szCs w:val="24"/>
    </w:rPr>
  </w:style>
  <w:style w:type="paragraph" w:styleId="NoSpacing">
    <w:name w:val="No Spacing"/>
    <w:uiPriority w:val="1"/>
    <w:qFormat/>
    <w:rsid w:val="00152DC6"/>
    <w:rPr>
      <w:rFonts w:asciiTheme="minorHAnsi" w:eastAsiaTheme="minorHAnsi" w:hAnsiTheme="minorHAnsi" w:cstheme="minorBidi"/>
      <w:sz w:val="22"/>
      <w:szCs w:val="22"/>
    </w:rPr>
  </w:style>
  <w:style w:type="paragraph" w:styleId="Revision">
    <w:name w:val="Revision"/>
    <w:hidden/>
    <w:uiPriority w:val="99"/>
    <w:semiHidden/>
    <w:rsid w:val="005500CE"/>
    <w:rPr>
      <w:rFonts w:ascii="Arial" w:hAnsi="Arial"/>
      <w:color w:val="5B6770"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rc.com/pa/Stand/Reliability%20Standards%20Complete%20Set/RSCompleteSe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content/wcm/libraries/179515/April_5__2019_Nodal_Protocol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content/wcm/key_documents_lists/90055/DC_Tie_Desk_Operating_Procedure.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Stand/Reliability%20Standards%20Complete%20Set/RSCompleteS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_x0020_Description xmlns="d0a93543-017a-4c8d-b1ec-ee1e5e9fb6c9">
      <Value>System Operations</Value>
    </Document_x0020_Description>
    <ID_x0020_Index xmlns="d0a93543-017a-4c8d-b1ec-ee1e5e9fb6c9">0</ID_x0020_Index>
    <Date xmlns="d0a93543-017a-4c8d-b1ec-ee1e5e9fb6c9">2017-01-01T06:00:00+00:00</Date>
    <Doc_x0020_Type xmlns="d0a93543-017a-4c8d-b1ec-ee1e5e9fb6c9">Procedure</Doc_x0020_Type>
    <Governs xmlns="d0a93543-017a-4c8d-b1ec-ee1e5e9fb6c9">
      <Value>ERCOT Employees</Value>
      <Value>Operations Personnel</Value>
    </Governs>
    <Revision_x0020_Type xmlns="d0a93543-017a-4c8d-b1ec-ee1e5e9fb6c9">Revised - No E-Wire Post</Revision_x0020_Type>
    <BPR_x0020_Reference xmlns="995216cc-9b7f-4053-9bf4-338a2ab5826c" xsi:nil="true"/>
    <Document_x0020_Owner xmlns="d0a93543-017a-4c8d-b1ec-ee1e5e9fb6c9">
      <UserInfo>
        <DisplayName>Sharma, Sandip</DisplayName>
        <AccountId>759</AccountId>
        <AccountType/>
      </UserInfo>
    </Document_x0020_Owner>
    <Document_x0020_Status xmlns="d0a93543-017a-4c8d-b1ec-ee1e5e9fb6c9">Active</Document_x0020_Status>
    <Corporate_x0020_Policy xmlns="d0a93543-017a-4c8d-b1ec-ee1e5e9fb6c9">8-System Operations</Corporate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F2C43243C784CA3C94DEBDE694653" ma:contentTypeVersion="32" ma:contentTypeDescription="Create a new document." ma:contentTypeScope="" ma:versionID="bf7e2552286344c0af907b499bbbc35a">
  <xsd:schema xmlns:xsd="http://www.w3.org/2001/XMLSchema" xmlns:xs="http://www.w3.org/2001/XMLSchema" xmlns:p="http://schemas.microsoft.com/office/2006/metadata/properties" xmlns:ns2="c34af464-7aa1-4edd-9be4-83dffc1cb926" xmlns:ns3="d0a93543-017a-4c8d-b1ec-ee1e5e9fb6c9" xmlns:ns4="995216cc-9b7f-4053-9bf4-338a2ab5826c" targetNamespace="http://schemas.microsoft.com/office/2006/metadata/properties" ma:root="true" ma:fieldsID="ee4d195086da013cd7bb5c4624bd23fc" ns2:_="" ns3:_="" ns4:_="">
    <xsd:import namespace="c34af464-7aa1-4edd-9be4-83dffc1cb926"/>
    <xsd:import namespace="d0a93543-017a-4c8d-b1ec-ee1e5e9fb6c9"/>
    <xsd:import namespace="995216cc-9b7f-4053-9bf4-338a2ab5826c"/>
    <xsd:element name="properties">
      <xsd:complexType>
        <xsd:sequence>
          <xsd:element name="documentManagement">
            <xsd:complexType>
              <xsd:all>
                <xsd:element ref="ns2:Information_x0020_Classification"/>
                <xsd:element ref="ns3:ID_x0020_Index"/>
                <xsd:element ref="ns3:Date"/>
                <xsd:element ref="ns3:Document_x0020_Status" minOccurs="0"/>
                <xsd:element ref="ns3:Document_x0020_Description" minOccurs="0"/>
                <xsd:element ref="ns3:Corporate_x0020_Policy"/>
                <xsd:element ref="ns3:Governs" minOccurs="0"/>
                <xsd:element ref="ns3:Doc_x0020_Type"/>
                <xsd:element ref="ns3:Document_x0020_Owner"/>
                <xsd:element ref="ns3:Revision_x0020_Type" minOccurs="0"/>
                <xsd:element ref="ns4:BPR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d0a93543-017a-4c8d-b1ec-ee1e5e9fb6c9" elementFormDefault="qualified">
    <xsd:import namespace="http://schemas.microsoft.com/office/2006/documentManagement/types"/>
    <xsd:import namespace="http://schemas.microsoft.com/office/infopath/2007/PartnerControls"/>
    <xsd:element name="ID_x0020_Index" ma:index="9" ma:displayName="ID Index" ma:default="0" ma:internalName="ID_x0020_Index">
      <xsd:simpleType>
        <xsd:restriction base="dms:Text">
          <xsd:maxLength value="255"/>
        </xsd:restriction>
      </xsd:simpleType>
    </xsd:element>
    <xsd:element name="Date" ma:index="10" ma:displayName="Effective Date" ma:format="DateOnly" ma:internalName="Date">
      <xsd:simpleType>
        <xsd:restriction base="dms:DateTime"/>
      </xsd:simpleType>
    </xsd:element>
    <xsd:element name="Document_x0020_Status" ma:index="11" nillable="true" ma:displayName="Document Status" ma:default="Active" ma:format="Dropdown" ma:internalName="Document_x0020_Status">
      <xsd:simpleType>
        <xsd:restriction base="dms:Choice">
          <xsd:enumeration value="Active"/>
          <xsd:enumeration value="Expired"/>
        </xsd:restriction>
      </xsd:simpleType>
    </xsd:element>
    <xsd:element name="Document_x0020_Description" ma:index="12" nillable="true" ma:displayName="Subject" ma:default="System Operations" ma:internalName="Document_x0020_Description"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Corporate_x0020_Policy" ma:index="13" ma:displayName="Corporate Policy" ma:default="8-System Operations" ma:format="Dropdown" ma:internalName="Corporate_x0020_Policy">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Commercial Operations"/>
        </xsd:restriction>
      </xsd:simpleType>
    </xsd:element>
    <xsd:element name="Governs" ma:index="14" nillable="true" ma:displayName="Governs" ma:default="ERCOT Contract Workers" ma:internalName="Governs" ma:requiredMultiChoice="true">
      <xsd:complexType>
        <xsd:complexContent>
          <xsd:extension base="dms:MultiChoice">
            <xsd:sequence>
              <xsd:element name="Value" maxOccurs="unbounded" minOccurs="0" nillable="true">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element>
            </xsd:sequence>
          </xsd:extension>
        </xsd:complexContent>
      </xsd:complexType>
    </xsd:element>
    <xsd:element name="Doc_x0020_Type" ma:index="15" ma:displayName="Doc Type" ma:format="Dropdown" ma:internalName="Doc_x0020_Typ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Document_x0020_Owner" ma:index="16"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Type" ma:index="19" nillable="true" ma:displayName="Revision Type" ma:default="Minor Change" ma:format="Dropdown" ma:internalName="Revision_x0020_Type">
      <xsd:simpleType>
        <xsd:restriction base="dms:Choice">
          <xsd:enumeration value="New Document"/>
          <xsd:enumeration value="Minor Change"/>
          <xsd:enumeration value="Major change"/>
          <xsd:enumeration value="Date Refresh"/>
          <xsd:enumeration value="Other Admin Change"/>
          <xsd:enumeration value="Expire Document"/>
          <xsd:enumeration value="Revised - No E-Wire Post"/>
        </xsd:restriction>
      </xsd:simpleType>
    </xsd:element>
  </xsd:schema>
  <xsd:schema xmlns:xsd="http://www.w3.org/2001/XMLSchema" xmlns:xs="http://www.w3.org/2001/XMLSchema" xmlns:dms="http://schemas.microsoft.com/office/2006/documentManagement/types" xmlns:pc="http://schemas.microsoft.com/office/infopath/2007/PartnerControls" targetNamespace="995216cc-9b7f-4053-9bf4-338a2ab5826c" elementFormDefault="qualified">
    <xsd:import namespace="http://schemas.microsoft.com/office/2006/documentManagement/types"/>
    <xsd:import namespace="http://schemas.microsoft.com/office/infopath/2007/PartnerControls"/>
    <xsd:element name="BPR_x0020_Reference" ma:index="22" nillable="true" ma:displayName="AlertEnt Control #" ma:internalName="BPR_x0020_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 ds:uri="d0a93543-017a-4c8d-b1ec-ee1e5e9fb6c9"/>
    <ds:schemaRef ds:uri="995216cc-9b7f-4053-9bf4-338a2ab5826c"/>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8542D0BC-A736-4148-8D6B-9D5B04CC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d0a93543-017a-4c8d-b1ec-ee1e5e9fb6c9"/>
    <ds:schemaRef ds:uri="995216cc-9b7f-4053-9bf4-338a2ab58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666FA-6631-4BDC-9394-5C08B791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2611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Mago, Nitika</cp:lastModifiedBy>
  <cp:revision>2</cp:revision>
  <cp:lastPrinted>2016-01-26T23:30:00Z</cp:lastPrinted>
  <dcterms:created xsi:type="dcterms:W3CDTF">2019-04-08T15:49:00Z</dcterms:created>
  <dcterms:modified xsi:type="dcterms:W3CDTF">2019-04-08T15:49:00Z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0x0101007B8F2C43243C784CA3C94DEBDE694653</vt:lpwstr>
  </property>
  <property fmtid="{D5CDD505-2E9C-101B-9397-08002B2CF9AE}" pid="6" name="LastSaved">
    <vt:filetime>2013-01-28T00:00:00Z</vt:filetime>
  </property>
  <property fmtid="{D5CDD505-2E9C-101B-9397-08002B2CF9AE}" pid="7" name="Created">
    <vt:filetime>2012-11-29T00:00:00Z</vt:filetime>
  </property>
</Properties>
</file>