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161"/>
        <w:gridCol w:w="5217"/>
        <w:gridCol w:w="915"/>
        <w:gridCol w:w="931"/>
        <w:gridCol w:w="2556"/>
      </w:tblGrid>
      <w:tr w:rsidR="0096024F" w:rsidRPr="0096024F" w:rsidTr="00C15B17">
        <w:tc>
          <w:tcPr>
            <w:tcW w:w="538"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96024F" w:rsidRPr="0096024F" w:rsidRDefault="0096024F" w:rsidP="0096024F">
            <w:pPr>
              <w:rPr>
                <w:rFonts w:eastAsia="Calibri"/>
                <w:b/>
                <w:bCs/>
                <w:color w:val="FFFFFF"/>
                <w:sz w:val="20"/>
                <w:szCs w:val="20"/>
              </w:rPr>
            </w:pPr>
            <w:r w:rsidRPr="0096024F">
              <w:rPr>
                <w:rFonts w:eastAsia="Calibri"/>
                <w:b/>
                <w:bCs/>
                <w:color w:val="FFFFFF"/>
                <w:sz w:val="20"/>
                <w:szCs w:val="20"/>
              </w:rPr>
              <w:t>REV REQ NO.</w:t>
            </w:r>
          </w:p>
        </w:tc>
        <w:tc>
          <w:tcPr>
            <w:tcW w:w="2420"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96024F" w:rsidRPr="0096024F" w:rsidRDefault="0096024F" w:rsidP="0096024F">
            <w:pPr>
              <w:rPr>
                <w:rFonts w:eastAsia="Calibri"/>
                <w:b/>
                <w:bCs/>
                <w:color w:val="FFFFFF"/>
                <w:sz w:val="20"/>
                <w:szCs w:val="20"/>
              </w:rPr>
            </w:pPr>
            <w:r w:rsidRPr="0096024F">
              <w:rPr>
                <w:rFonts w:eastAsia="Calibri"/>
                <w:b/>
                <w:bCs/>
                <w:color w:val="FFFFFF"/>
                <w:sz w:val="20"/>
                <w:szCs w:val="20"/>
              </w:rPr>
              <w:t>DESCRIPTION</w:t>
            </w:r>
          </w:p>
        </w:tc>
        <w:tc>
          <w:tcPr>
            <w:tcW w:w="424"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96024F" w:rsidRPr="0096024F" w:rsidRDefault="0096024F" w:rsidP="0096024F">
            <w:pPr>
              <w:jc w:val="center"/>
              <w:rPr>
                <w:rFonts w:eastAsia="Calibri"/>
                <w:b/>
                <w:bCs/>
                <w:color w:val="FFFFFF"/>
                <w:sz w:val="20"/>
                <w:szCs w:val="20"/>
              </w:rPr>
            </w:pPr>
            <w:r w:rsidRPr="0096024F">
              <w:rPr>
                <w:rFonts w:eastAsia="Calibri"/>
                <w:b/>
                <w:bCs/>
                <w:color w:val="FFFFFF"/>
                <w:sz w:val="20"/>
                <w:szCs w:val="20"/>
              </w:rPr>
              <w:t>URGENT</w:t>
            </w:r>
          </w:p>
        </w:tc>
        <w:tc>
          <w:tcPr>
            <w:tcW w:w="432"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96024F" w:rsidRPr="0096024F" w:rsidRDefault="0096024F" w:rsidP="0096024F">
            <w:pPr>
              <w:rPr>
                <w:rFonts w:eastAsia="Calibri"/>
                <w:b/>
                <w:bCs/>
                <w:color w:val="FFFFFF"/>
                <w:sz w:val="20"/>
                <w:szCs w:val="20"/>
              </w:rPr>
            </w:pPr>
            <w:r w:rsidRPr="0096024F">
              <w:rPr>
                <w:rFonts w:eastAsia="Calibri"/>
                <w:b/>
                <w:bCs/>
                <w:color w:val="FFFFFF"/>
                <w:sz w:val="20"/>
                <w:szCs w:val="20"/>
              </w:rPr>
              <w:t>MARKET RULES</w:t>
            </w:r>
          </w:p>
        </w:tc>
        <w:tc>
          <w:tcPr>
            <w:tcW w:w="1186"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96024F" w:rsidRPr="0096024F" w:rsidRDefault="0096024F" w:rsidP="0096024F">
            <w:pPr>
              <w:rPr>
                <w:rFonts w:eastAsia="Calibri"/>
                <w:b/>
                <w:bCs/>
                <w:color w:val="FFFFFF"/>
                <w:sz w:val="20"/>
                <w:szCs w:val="20"/>
              </w:rPr>
            </w:pPr>
            <w:r w:rsidRPr="0096024F">
              <w:rPr>
                <w:rFonts w:eastAsia="Calibri"/>
                <w:b/>
                <w:bCs/>
                <w:color w:val="FFFFFF"/>
                <w:sz w:val="20"/>
                <w:szCs w:val="20"/>
              </w:rPr>
              <w:t>ERCOT Opinion</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891NPRR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 xml:space="preserve">Removal of NOIE Capacity Reporting Threshold for the Unregistered Distributed Generation Report.  </w:t>
            </w:r>
            <w:r w:rsidRPr="0096024F">
              <w:rPr>
                <w:rFonts w:eastAsia="Calibri"/>
                <w:sz w:val="20"/>
                <w:szCs w:val="20"/>
              </w:rPr>
              <w:t>This Nodal Protocol Revision Request (NPRR) removes the 50 kW threshold for Non-Opt-In Entities (NOIEs) to report unregistered Distributed Generation (DG) to ERCOT for the purpose of creating the Unregistered Distributed Generation Report.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sz w:val="20"/>
                <w:szCs w:val="20"/>
              </w:rPr>
            </w:pPr>
            <w:r w:rsidRPr="0096024F">
              <w:rPr>
                <w:rFonts w:eastAsia="Calibri"/>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Albracht</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NPRR891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900NPRR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 xml:space="preserve">Clean-up Items Applicable to the State of Texas REC Trading Program.  </w:t>
            </w:r>
            <w:r w:rsidRPr="0096024F">
              <w:rPr>
                <w:rFonts w:eastAsia="Calibri"/>
                <w:sz w:val="20"/>
                <w:szCs w:val="20"/>
              </w:rPr>
              <w:t>This Nodal Protocol Revision Request (NPRR) addresses language clean up and inconsistencies in the current Nodal Protocol language that are out of alignment with current processes, Public Utility Commission of Texas (PUCT) Substantive Rules, and system design.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sz w:val="20"/>
                <w:szCs w:val="20"/>
              </w:rPr>
            </w:pPr>
            <w:r w:rsidRPr="0096024F">
              <w:rPr>
                <w:rFonts w:eastAsia="Calibri"/>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Bracy</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NPRR900 (ERCOT sponsored)</w:t>
            </w:r>
          </w:p>
        </w:tc>
      </w:tr>
      <w:tr w:rsidR="00C15B17"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5B17" w:rsidRDefault="00C15B17" w:rsidP="0038720D">
            <w:pPr>
              <w:rPr>
                <w:b/>
                <w:bCs/>
                <w:sz w:val="20"/>
                <w:szCs w:val="20"/>
              </w:rPr>
            </w:pPr>
            <w:r>
              <w:rPr>
                <w:b/>
                <w:bCs/>
                <w:sz w:val="20"/>
                <w:szCs w:val="20"/>
              </w:rPr>
              <w:t>906NPRR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C15B17" w:rsidRDefault="00C15B17" w:rsidP="0038720D">
            <w:pPr>
              <w:rPr>
                <w:b/>
                <w:bCs/>
                <w:sz w:val="20"/>
                <w:szCs w:val="20"/>
              </w:rPr>
            </w:pPr>
            <w:r>
              <w:rPr>
                <w:b/>
                <w:bCs/>
                <w:sz w:val="20"/>
                <w:szCs w:val="20"/>
              </w:rPr>
              <w:t xml:space="preserve">Clarifying the Decision Making Entity Process.  </w:t>
            </w:r>
            <w:r>
              <w:rPr>
                <w:sz w:val="20"/>
                <w:szCs w:val="20"/>
              </w:rPr>
              <w:t>This Nodal Protocol Revision Request (NPRR) streamlines the Protocol language across all sections and removes any ambiguity that may exist as to how ERCOT systems handle the Decision Making Entity during mitigation.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C15B17" w:rsidRDefault="00C15B17" w:rsidP="0038720D">
            <w:pPr>
              <w:jc w:val="center"/>
              <w:rPr>
                <w:sz w:val="20"/>
                <w:szCs w:val="20"/>
              </w:rPr>
            </w:pPr>
            <w:r>
              <w:rPr>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C15B17" w:rsidRDefault="00C15B17" w:rsidP="0038720D">
            <w:pPr>
              <w:rPr>
                <w:sz w:val="20"/>
                <w:szCs w:val="20"/>
              </w:rPr>
            </w:pPr>
            <w:r>
              <w:rPr>
                <w:sz w:val="20"/>
                <w:szCs w:val="20"/>
              </w:rPr>
              <w:t>Bracy</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C15B17" w:rsidRDefault="00C15B17" w:rsidP="0038720D">
            <w:pPr>
              <w:rPr>
                <w:sz w:val="20"/>
                <w:szCs w:val="20"/>
              </w:rPr>
            </w:pPr>
            <w:r>
              <w:rPr>
                <w:sz w:val="20"/>
                <w:szCs w:val="20"/>
              </w:rPr>
              <w:t>ERCOT supports approval of NPRR906.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bookmarkStart w:id="0" w:name="_GoBack"/>
            <w:bookmarkEnd w:id="0"/>
            <w:r w:rsidRPr="0096024F">
              <w:rPr>
                <w:rFonts w:eastAsia="Calibri"/>
                <w:b/>
                <w:bCs/>
                <w:sz w:val="20"/>
                <w:szCs w:val="20"/>
              </w:rPr>
              <w:t>908NPRR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 xml:space="preserve">Revisions to Mass Transition Processes.  </w:t>
            </w:r>
            <w:r w:rsidRPr="0096024F">
              <w:rPr>
                <w:rFonts w:eastAsia="Calibri"/>
                <w:sz w:val="20"/>
                <w:szCs w:val="20"/>
              </w:rPr>
              <w:t>This Nodal Protocol Revision Request (NPRR) aligns Retail Market Guide references in Protocols as revised in RMGRR159.  In addition, the NPRR updates Mass Transition notification requirements for Emergency Qualified Scheduling Entities (QSEs) to align with revisions in the RMGRR.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sz w:val="20"/>
                <w:szCs w:val="20"/>
              </w:rPr>
            </w:pPr>
            <w:r w:rsidRPr="0096024F">
              <w:rPr>
                <w:rFonts w:eastAsia="Calibri"/>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Bracy</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NPRR908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159RMGRR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Related to NPRR908, Revisions to Mass Transition Processes.</w:t>
            </w:r>
            <w:r w:rsidRPr="0096024F">
              <w:rPr>
                <w:rFonts w:eastAsia="Calibri"/>
                <w:sz w:val="20"/>
                <w:szCs w:val="20"/>
              </w:rPr>
              <w:t>  This Retail Market Guide Revision Request (RMGRR) provides clarifications to Mass Transition processes and communications.  The required minimum timeline for initial notification of a Mass Transition to affected parties is shortened from two hours to one hour, which in many cases will reduce the required Mass Transition timeline by a day.  In addition, the RMGRR specifies that ERCOT may, if feasible, provide preliminary notification of a potential Mass Transition on a given Business Day to potentially affected Transmission and/or Distribution Service Providers (TDSPs), Providers of Last Resort (POLRs), and Public Utility Commission of Texas (PUCT) Staff, as long as Protected Information is not disclosed.  This would allow affected TDSPs, POLRs and PUCT Staff to be adequately prepared should a Mass Transition event occur that day.  This RMGRR also clarifies that ERCOT may coordinate periodic testing of Mass Transition systems and processes with Market Participants.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sz w:val="20"/>
                <w:szCs w:val="20"/>
              </w:rPr>
            </w:pPr>
            <w:r w:rsidRPr="0096024F">
              <w:rPr>
                <w:rFonts w:eastAsia="Calibri"/>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Bracy</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RMGRR159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909NPRR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 xml:space="preserve">Address Unavailability Gap for ERS and Other Minor Clarifications. </w:t>
            </w:r>
            <w:r w:rsidRPr="0096024F">
              <w:rPr>
                <w:rFonts w:eastAsia="Calibri"/>
                <w:sz w:val="20"/>
                <w:szCs w:val="20"/>
              </w:rPr>
              <w:t> This Nodal Protocol Revision Request (NPRR) resolves a gap in the Protocols that did not address scheduled unavailability of an Emergency Response Service (ERS) Resource that was either not timely provided (a least 3 calendar days) or properly noticed unavailability above the allowable 2% threshold, along with other clarifications.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sz w:val="20"/>
                <w:szCs w:val="20"/>
              </w:rPr>
            </w:pPr>
            <w:r w:rsidRPr="0096024F">
              <w:rPr>
                <w:rFonts w:eastAsia="Calibri"/>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Albracht</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sz w:val="20"/>
                <w:szCs w:val="20"/>
              </w:rPr>
              <w:t>ERCOT supports approval of NPRR909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912NPRR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 xml:space="preserve">Settlement of Switchable Generation Resources (SWGRs) Instructed to Switch to ERCOT.  </w:t>
            </w:r>
            <w:r w:rsidRPr="0096024F">
              <w:rPr>
                <w:rFonts w:eastAsia="Calibri"/>
                <w:sz w:val="20"/>
                <w:szCs w:val="20"/>
              </w:rPr>
              <w:t xml:space="preserve">This Nodal Protocol Revision Request (NPRR) addresses the Settlement of Switchable </w:t>
            </w:r>
            <w:r w:rsidRPr="0096024F">
              <w:rPr>
                <w:rFonts w:eastAsia="Calibri"/>
                <w:sz w:val="20"/>
                <w:szCs w:val="20"/>
              </w:rPr>
              <w:lastRenderedPageBreak/>
              <w:t>Generation Resources (SWGRs) that receive a Reliability Unit Commitment (RUC) instruction to switch from a non-ERCOT Control Area to the ERCOT Control Area.  The NPRR provides a Make-Whole Payment for a SWGR when the SWGR’s Real-Time revenues in ERCOT are not sufficient to cover certain specified costs the SWGR may have incurred in complying with such a RUC instruction.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sz w:val="20"/>
                <w:szCs w:val="20"/>
              </w:rPr>
            </w:pPr>
            <w:r w:rsidRPr="0096024F">
              <w:rPr>
                <w:rFonts w:eastAsia="Calibri"/>
                <w:sz w:val="20"/>
                <w:szCs w:val="20"/>
              </w:rPr>
              <w:lastRenderedPageBreak/>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Albracht</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NPRR912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914NPRR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 xml:space="preserve">Addition of Controllable Load Resources to 60-Day Reports.  </w:t>
            </w:r>
            <w:r w:rsidRPr="0096024F">
              <w:rPr>
                <w:rFonts w:eastAsia="Calibri"/>
                <w:color w:val="000000"/>
                <w:sz w:val="20"/>
                <w:szCs w:val="20"/>
              </w:rPr>
              <w:t>This Nodal Protocol Revision Request (NPRR) adds data points that are unique to a Controllable Load Resource that has a Resource Status of ONRGL or ONCLR to the existing 60-Day Security-Constrained Economic Dispatch (SCED) disclosure report for Load Resources.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color w:val="000000"/>
                <w:sz w:val="20"/>
                <w:szCs w:val="20"/>
              </w:rPr>
            </w:pPr>
            <w:r w:rsidRPr="0096024F">
              <w:rPr>
                <w:rFonts w:eastAsia="Calibri"/>
                <w:color w:val="000000"/>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color w:val="000000"/>
                <w:sz w:val="20"/>
                <w:szCs w:val="20"/>
              </w:rPr>
              <w:t>Bracy</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NPRR914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916NPRR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 xml:space="preserve">Mitigated Offer Floor Revisions.  </w:t>
            </w:r>
            <w:r w:rsidRPr="0096024F">
              <w:rPr>
                <w:rFonts w:eastAsia="Calibri"/>
                <w:color w:val="000000"/>
                <w:sz w:val="20"/>
                <w:szCs w:val="20"/>
              </w:rPr>
              <w:t>This Nodal Protocol Revision Request (NPRR) sets the Mitigated Offer Floor for the “Combined Cycle” and “Gas/Oil Steam and Combustion Turbine” Resource Categories to $0/MWh, rather than a Fuel Index Price (FIP)-based calculation.  This proposed language obviates grey-boxed language from NPRR664, Fuel Index Price for Resource Definition and Real-Time Make-Whole Payments for Exceptional Fuel Cost Events.  As a result, the grey-boxed language from NPRR664 is deleted in Section 4.4.9.4.2.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color w:val="000000"/>
                <w:sz w:val="20"/>
                <w:szCs w:val="20"/>
              </w:rPr>
            </w:pPr>
            <w:r w:rsidRPr="0096024F">
              <w:rPr>
                <w:rFonts w:eastAsia="Calibri"/>
                <w:color w:val="000000"/>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color w:val="000000"/>
                <w:sz w:val="20"/>
                <w:szCs w:val="20"/>
              </w:rPr>
              <w:t>Albracht</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rPr>
            </w:pPr>
            <w:r w:rsidRPr="0096024F">
              <w:rPr>
                <w:rFonts w:eastAsia="Calibri"/>
                <w:sz w:val="20"/>
                <w:szCs w:val="20"/>
              </w:rPr>
              <w:t>ERCOT supports approval of NPRR916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920NPRR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 xml:space="preserve">Change to Ramp Rate Calculation in Resource Limit Calculator.  </w:t>
            </w:r>
            <w:r w:rsidRPr="0096024F">
              <w:rPr>
                <w:rFonts w:eastAsia="Calibri"/>
                <w:color w:val="000000"/>
                <w:sz w:val="20"/>
                <w:szCs w:val="20"/>
              </w:rPr>
              <w:t>This Nodal Protocol Revision Request (NPRR) modifies the Resource ramp rate logic in Section 6.5.7.2, Resource Limit Calculator, to dynamically adjust the amount of ramp rate reserved for Regulation Service in Real-Time based on the percentage of Regulation Service being deployed in the opposite direction in Real-Time.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color w:val="000000"/>
                <w:sz w:val="20"/>
                <w:szCs w:val="20"/>
              </w:rPr>
            </w:pPr>
            <w:r w:rsidRPr="0096024F">
              <w:rPr>
                <w:rFonts w:eastAsia="Calibri"/>
                <w:color w:val="000000"/>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color w:val="000000"/>
                <w:sz w:val="20"/>
                <w:szCs w:val="20"/>
              </w:rPr>
              <w:t>Bracy</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NPRR920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921NPRR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b/>
                <w:bCs/>
                <w:color w:val="000000"/>
                <w:sz w:val="20"/>
                <w:szCs w:val="20"/>
              </w:rPr>
              <w:t>RTF-2 Elimination of the Terms All-Inclusive Generation Resource and All-Inclusive Resource.</w:t>
            </w:r>
            <w:r w:rsidRPr="0096024F">
              <w:rPr>
                <w:rFonts w:eastAsia="Calibri"/>
                <w:color w:val="000000"/>
                <w:sz w:val="20"/>
                <w:szCs w:val="20"/>
              </w:rPr>
              <w:t>  This Nodal Protocol Revision Request (NPRR) replaces all instances of the terms All-Inclusive Generation Resource and All-Inclusive Resource with appropriate terms from Section 2.1.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color w:val="000000"/>
                <w:sz w:val="20"/>
                <w:szCs w:val="20"/>
              </w:rPr>
            </w:pPr>
            <w:r w:rsidRPr="0096024F">
              <w:rPr>
                <w:rFonts w:eastAsia="Calibri"/>
                <w:color w:val="000000"/>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color w:val="000000"/>
                <w:sz w:val="20"/>
                <w:szCs w:val="20"/>
              </w:rPr>
              <w:t>Phillips</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NPRR921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922NPRR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b/>
                <w:bCs/>
                <w:color w:val="000000"/>
                <w:sz w:val="20"/>
                <w:szCs w:val="20"/>
              </w:rPr>
              <w:t>Modifications to DC Tie Import Forecast Method.</w:t>
            </w:r>
            <w:r w:rsidRPr="0096024F">
              <w:rPr>
                <w:rFonts w:eastAsia="Calibri"/>
                <w:color w:val="000000"/>
                <w:sz w:val="20"/>
                <w:szCs w:val="20"/>
              </w:rPr>
              <w:t>  This Nodal Protocol Revision Request (NPRR) aligns the Direct Current Tie (DC Tie) import forecast with forecasts of other Resources in the Report on Capacity, Demand and Reserves in the ERCOT Region (“CDR”) that are deployed during Energy Emergency Alert (EEA) events, such as Emergency Response Service (ERS). This NPRR also addresses a reporting gap in the CDR by specifying an approach for forecasting expected capacity imports for planned DC Tie projects.  [ERCOT</w:t>
            </w:r>
            <w:r w:rsidRPr="0096024F">
              <w:rPr>
                <w:rFonts w:eastAsia="Calibri"/>
                <w:sz w:val="20"/>
                <w:szCs w:val="20"/>
              </w:rPr>
              <w: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color w:val="000000"/>
                <w:sz w:val="20"/>
                <w:szCs w:val="20"/>
              </w:rPr>
            </w:pPr>
            <w:r w:rsidRPr="0096024F">
              <w:rPr>
                <w:rFonts w:eastAsia="Calibri"/>
                <w:color w:val="000000"/>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color w:val="000000"/>
                <w:sz w:val="20"/>
                <w:szCs w:val="20"/>
              </w:rPr>
              <w:t>Phillips</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NPRR922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color w:val="000000"/>
                <w:sz w:val="20"/>
                <w:szCs w:val="20"/>
              </w:rPr>
            </w:pPr>
            <w:r w:rsidRPr="0096024F">
              <w:rPr>
                <w:rFonts w:eastAsia="Calibri"/>
                <w:b/>
                <w:bCs/>
                <w:color w:val="000000"/>
                <w:sz w:val="20"/>
                <w:szCs w:val="20"/>
              </w:rPr>
              <w:t>925NPRR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b/>
                <w:bCs/>
                <w:color w:val="000000"/>
                <w:sz w:val="20"/>
                <w:szCs w:val="20"/>
              </w:rPr>
              <w:t>Increasing Minimum Quantity for PTP Obligation Bids</w:t>
            </w:r>
            <w:r w:rsidRPr="0096024F">
              <w:rPr>
                <w:rFonts w:eastAsia="Calibri"/>
                <w:color w:val="000000"/>
                <w:sz w:val="20"/>
                <w:szCs w:val="20"/>
              </w:rPr>
              <w:t>.  This Nodal Protocol Revision Request (NPRR) increases the minimum quantity that can be submitted for Point-to-Point (PTP) Obligation bids to one MW, from one-tenth of one MW, matching the minimum quantity for Energy Only Offers and Energy Bids.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color w:val="000000"/>
                <w:sz w:val="20"/>
                <w:szCs w:val="20"/>
              </w:rPr>
            </w:pPr>
            <w:r w:rsidRPr="0096024F">
              <w:rPr>
                <w:rFonts w:eastAsia="Calibri"/>
                <w:color w:val="000000"/>
                <w:sz w:val="20"/>
                <w:szCs w:val="20"/>
              </w:rPr>
              <w:t>Y</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color w:val="000000"/>
                <w:sz w:val="20"/>
                <w:szCs w:val="20"/>
              </w:rPr>
            </w:pPr>
            <w:r w:rsidRPr="0096024F">
              <w:rPr>
                <w:rFonts w:eastAsia="Calibri"/>
                <w:color w:val="000000"/>
                <w:sz w:val="20"/>
                <w:szCs w:val="20"/>
              </w:rPr>
              <w:t>Albracht</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NPRR925 (ERCOT sponsored)</w:t>
            </w:r>
          </w:p>
        </w:tc>
      </w:tr>
      <w:tr w:rsidR="0096024F" w:rsidRPr="0096024F" w:rsidTr="00C15B17">
        <w:tc>
          <w:tcPr>
            <w:tcW w:w="5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798SCR</w:t>
            </w:r>
          </w:p>
        </w:tc>
        <w:tc>
          <w:tcPr>
            <w:tcW w:w="2420"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b/>
                <w:bCs/>
                <w:sz w:val="20"/>
                <w:szCs w:val="20"/>
              </w:rPr>
            </w:pPr>
            <w:r w:rsidRPr="0096024F">
              <w:rPr>
                <w:rFonts w:eastAsia="Calibri"/>
                <w:b/>
                <w:bCs/>
                <w:sz w:val="20"/>
                <w:szCs w:val="20"/>
              </w:rPr>
              <w:t xml:space="preserve">PTP Obligation Bid ID Limit.  </w:t>
            </w:r>
            <w:r w:rsidRPr="0096024F">
              <w:rPr>
                <w:rFonts w:eastAsia="Calibri"/>
                <w:sz w:val="20"/>
                <w:szCs w:val="20"/>
              </w:rPr>
              <w:t>This System Change Request (SCR) introduces a limit on the total number of Point-to-Point (PTP) Obligation bids that can be submitted into the Day-Ahead Market (DAM) per Qualified Scheduling Entity (QSE) and per Counter-Party.  The limit will apply to the number of bid IDs per Operating Day.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jc w:val="center"/>
              <w:rPr>
                <w:rFonts w:eastAsia="Calibri"/>
                <w:sz w:val="20"/>
                <w:szCs w:val="20"/>
              </w:rPr>
            </w:pPr>
            <w:r w:rsidRPr="0096024F">
              <w:rPr>
                <w:rFonts w:eastAsia="Calibri"/>
                <w:sz w:val="20"/>
                <w:szCs w:val="20"/>
              </w:rPr>
              <w:t>N</w:t>
            </w:r>
          </w:p>
        </w:tc>
        <w:tc>
          <w:tcPr>
            <w:tcW w:w="432"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Albracht</w:t>
            </w:r>
          </w:p>
        </w:tc>
        <w:tc>
          <w:tcPr>
            <w:tcW w:w="1186" w:type="pct"/>
            <w:tcBorders>
              <w:top w:val="nil"/>
              <w:left w:val="nil"/>
              <w:bottom w:val="single" w:sz="8" w:space="0" w:color="auto"/>
              <w:right w:val="single" w:sz="8" w:space="0" w:color="auto"/>
            </w:tcBorders>
            <w:tcMar>
              <w:top w:w="0" w:type="dxa"/>
              <w:left w:w="108" w:type="dxa"/>
              <w:bottom w:w="0" w:type="dxa"/>
              <w:right w:w="108" w:type="dxa"/>
            </w:tcMar>
            <w:hideMark/>
          </w:tcPr>
          <w:p w:rsidR="0096024F" w:rsidRPr="0096024F" w:rsidRDefault="0096024F" w:rsidP="0096024F">
            <w:pPr>
              <w:rPr>
                <w:rFonts w:eastAsia="Calibri"/>
                <w:sz w:val="20"/>
                <w:szCs w:val="20"/>
              </w:rPr>
            </w:pPr>
            <w:r w:rsidRPr="0096024F">
              <w:rPr>
                <w:rFonts w:eastAsia="Calibri"/>
                <w:sz w:val="20"/>
                <w:szCs w:val="20"/>
              </w:rPr>
              <w:t>ERCOT supports approval of SCR798 (ERCOT sponsored)</w:t>
            </w:r>
          </w:p>
        </w:tc>
      </w:tr>
    </w:tbl>
    <w:p w:rsidR="00E60BF8" w:rsidRDefault="00E60BF8"/>
    <w:sectPr w:rsidR="00E60BF8"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8E5" w:rsidRDefault="002378E5" w:rsidP="00985FF4">
      <w:r>
        <w:separator/>
      </w:r>
    </w:p>
  </w:endnote>
  <w:endnote w:type="continuationSeparator" w:id="0">
    <w:p w:rsidR="002378E5" w:rsidRDefault="002378E5"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8E5" w:rsidRDefault="002378E5" w:rsidP="00985FF4">
      <w:r>
        <w:separator/>
      </w:r>
    </w:p>
  </w:footnote>
  <w:footnote w:type="continuationSeparator" w:id="0">
    <w:p w:rsidR="002378E5" w:rsidRDefault="002378E5"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96024F">
      <w:t>3/27</w:t>
    </w:r>
    <w:r>
      <w:t>/19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131AD8"/>
    <w:rsid w:val="002378E5"/>
    <w:rsid w:val="00320D47"/>
    <w:rsid w:val="0044443B"/>
    <w:rsid w:val="005E147E"/>
    <w:rsid w:val="006256A5"/>
    <w:rsid w:val="00825E43"/>
    <w:rsid w:val="008874B6"/>
    <w:rsid w:val="0096024F"/>
    <w:rsid w:val="00985FF4"/>
    <w:rsid w:val="009C5427"/>
    <w:rsid w:val="00A94986"/>
    <w:rsid w:val="00AC0725"/>
    <w:rsid w:val="00AD50EB"/>
    <w:rsid w:val="00C15B17"/>
    <w:rsid w:val="00E60BF8"/>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 Boren</cp:lastModifiedBy>
  <cp:revision>2</cp:revision>
  <dcterms:created xsi:type="dcterms:W3CDTF">2019-03-26T20:24:00Z</dcterms:created>
  <dcterms:modified xsi:type="dcterms:W3CDTF">2019-03-26T20:24:00Z</dcterms:modified>
</cp:coreProperties>
</file>