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34C" w:rsidRPr="002A134C" w:rsidRDefault="0090425A" w:rsidP="002A134C">
      <w:pPr>
        <w:jc w:val="center"/>
        <w:rPr>
          <w:sz w:val="36"/>
          <w:szCs w:val="36"/>
        </w:rPr>
      </w:pPr>
      <w:bookmarkStart w:id="0" w:name="_GoBack"/>
      <w:bookmarkEnd w:id="0"/>
      <w:r w:rsidRPr="0090425A">
        <w:rPr>
          <w:sz w:val="36"/>
          <w:szCs w:val="36"/>
        </w:rPr>
        <w:t xml:space="preserve">Market Settlement Working Group (MSWG) </w:t>
      </w:r>
      <w:r w:rsidR="002A134C" w:rsidRPr="002A134C">
        <w:rPr>
          <w:sz w:val="36"/>
          <w:szCs w:val="36"/>
        </w:rPr>
        <w:t>Charter</w:t>
      </w:r>
    </w:p>
    <w:p w:rsidR="002A134C" w:rsidRDefault="002A134C" w:rsidP="002A134C">
      <w:pPr>
        <w:jc w:val="center"/>
        <w:rPr>
          <w:sz w:val="36"/>
          <w:szCs w:val="36"/>
        </w:rPr>
      </w:pPr>
      <w:r w:rsidRPr="002A134C">
        <w:rPr>
          <w:sz w:val="36"/>
          <w:szCs w:val="36"/>
        </w:rPr>
        <w:t xml:space="preserve">WMS Approved </w:t>
      </w:r>
      <w:r w:rsidR="0058598C">
        <w:rPr>
          <w:sz w:val="36"/>
          <w:szCs w:val="36"/>
        </w:rPr>
        <w:t>February 06, 2019</w:t>
      </w:r>
    </w:p>
    <w:p w:rsidR="002A134C" w:rsidRPr="002A134C" w:rsidRDefault="002A134C" w:rsidP="002A134C">
      <w:pPr>
        <w:jc w:val="center"/>
        <w:rPr>
          <w:sz w:val="24"/>
          <w:szCs w:val="24"/>
        </w:rPr>
      </w:pPr>
    </w:p>
    <w:p w:rsidR="009455CE" w:rsidRPr="002A134C" w:rsidRDefault="0090425A">
      <w:pPr>
        <w:rPr>
          <w:sz w:val="24"/>
          <w:szCs w:val="24"/>
        </w:rPr>
      </w:pPr>
      <w:r w:rsidRPr="0090425A">
        <w:rPr>
          <w:sz w:val="24"/>
          <w:szCs w:val="24"/>
        </w:rPr>
        <w:t>The Market Settlement Working Group (MSWG) reporting to Wholesale Market Subcommittee (WMS) is responsible for reviewing Settlement issues, wholesale communication processes and data flow through reports and extracts. MSWG will focus on the accuracy of Settlements and efficiency of data flow to ensure that all market participants receive timely Settlement information. MSWG will analyze and work with ERCOT to interpret Market Participant Settlement results and anomalies. MSWG will focus on any ERCOT system changes that would impact middle and back office systems and engage ERCOT in dialogue to understand such changes in content and design. </w:t>
      </w:r>
    </w:p>
    <w:sectPr w:rsidR="009455CE" w:rsidRPr="002A134C" w:rsidSect="00FF7F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34C"/>
    <w:rsid w:val="0008236D"/>
    <w:rsid w:val="002A134C"/>
    <w:rsid w:val="00421BD0"/>
    <w:rsid w:val="0058598C"/>
    <w:rsid w:val="005C4260"/>
    <w:rsid w:val="0090425A"/>
    <w:rsid w:val="00D35C5B"/>
    <w:rsid w:val="00FF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F3912-D769-4BF9-AFB7-652954B2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3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72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619</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Suzy Clifton </cp:lastModifiedBy>
  <cp:revision>2</cp:revision>
  <dcterms:created xsi:type="dcterms:W3CDTF">2019-03-08T18:37:00Z</dcterms:created>
  <dcterms:modified xsi:type="dcterms:W3CDTF">2019-03-08T18:37:00Z</dcterms:modified>
</cp:coreProperties>
</file>