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  <w:bookmarkStart w:id="0" w:name="_GoBack"/>
      <w:bookmarkEnd w:id="0"/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6D7FF8CD" w:rsidR="00897E98" w:rsidRPr="0090599B" w:rsidRDefault="00523B63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January 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7885CC78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C54E59">
              <w:rPr>
                <w:b/>
                <w:sz w:val="22"/>
                <w:szCs w:val="22"/>
              </w:rPr>
              <w:t>527</w:t>
            </w:r>
            <w:r w:rsidR="008A22FA" w:rsidRPr="008A22FA">
              <w:rPr>
                <w:b/>
                <w:sz w:val="22"/>
                <w:szCs w:val="22"/>
              </w:rPr>
              <w:t>.7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C54E59">
              <w:rPr>
                <w:b/>
                <w:sz w:val="22"/>
                <w:szCs w:val="22"/>
              </w:rPr>
              <w:t xml:space="preserve">January </w:t>
            </w:r>
            <w:r w:rsidR="008A22FA">
              <w:rPr>
                <w:b/>
                <w:sz w:val="22"/>
                <w:szCs w:val="22"/>
              </w:rPr>
              <w:t>31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20EE6477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C54E59">
              <w:rPr>
                <w:b/>
                <w:sz w:val="22"/>
                <w:szCs w:val="22"/>
              </w:rPr>
              <w:t>34</w:t>
            </w:r>
            <w:r w:rsidR="00E545A1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C54E59">
              <w:rPr>
                <w:b/>
                <w:sz w:val="22"/>
                <w:szCs w:val="22"/>
              </w:rPr>
              <w:t xml:space="preserve">January </w:t>
            </w:r>
            <w:r w:rsidR="008A22FA">
              <w:rPr>
                <w:b/>
                <w:sz w:val="22"/>
                <w:szCs w:val="22"/>
              </w:rPr>
              <w:t>31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77777777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</w:t>
            </w:r>
            <w:r w:rsidR="00F72C29">
              <w:rPr>
                <w:b/>
                <w:sz w:val="22"/>
                <w:szCs w:val="22"/>
              </w:rPr>
              <w:t>03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F72C29">
              <w:rPr>
                <w:b/>
                <w:sz w:val="22"/>
                <w:szCs w:val="22"/>
              </w:rPr>
              <w:t>October 15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77777777" w:rsidR="00897E98" w:rsidRPr="0033354E" w:rsidRDefault="00897E98" w:rsidP="00782422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F72C29">
              <w:rPr>
                <w:b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F72C29">
              <w:rPr>
                <w:b/>
                <w:sz w:val="22"/>
                <w:szCs w:val="22"/>
              </w:rPr>
              <w:t>October 15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7BB64440" w14:textId="2C15ACFD" w:rsidR="00C54E59" w:rsidRDefault="00107F6D" w:rsidP="00083EC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proofErr w:type="spellStart"/>
      <w:r w:rsidRPr="009B449B">
        <w:rPr>
          <w:sz w:val="22"/>
          <w:szCs w:val="22"/>
        </w:rPr>
        <w:t>Sharyland</w:t>
      </w:r>
      <w:proofErr w:type="spellEnd"/>
      <w:r w:rsidRPr="009B449B">
        <w:rPr>
          <w:sz w:val="22"/>
          <w:szCs w:val="22"/>
        </w:rPr>
        <w:t xml:space="preserve"> Utilities has submitted the Driver – Einstein 138 kV Line Project. This is a Tier 2 project that is estimated to cost $19.1 million. This project </w:t>
      </w:r>
      <w:r w:rsidR="00173109" w:rsidRPr="009B449B">
        <w:rPr>
          <w:sz w:val="22"/>
          <w:szCs w:val="22"/>
        </w:rPr>
        <w:t>is currently</w:t>
      </w:r>
      <w:r w:rsidR="001D02BE" w:rsidRPr="009B449B">
        <w:rPr>
          <w:sz w:val="22"/>
          <w:szCs w:val="22"/>
        </w:rPr>
        <w:t xml:space="preserve"> under ERCOT Independent Review</w:t>
      </w:r>
      <w:r w:rsidRPr="009B449B">
        <w:rPr>
          <w:sz w:val="22"/>
          <w:szCs w:val="22"/>
        </w:rPr>
        <w:t>.</w:t>
      </w:r>
      <w:r w:rsidR="009B449B" w:rsidRPr="009B449B">
        <w:rPr>
          <w:sz w:val="22"/>
          <w:szCs w:val="22"/>
        </w:rPr>
        <w:t xml:space="preserve"> </w:t>
      </w:r>
    </w:p>
    <w:p w14:paraId="75CDB76F" w14:textId="22B2C5A3" w:rsidR="008A22FA" w:rsidRPr="00243E5D" w:rsidRDefault="008A22FA" w:rsidP="00083EC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Eldorado Live Oak to Sonora 69 kV Line Rebuild Project. This is a Tier 3 project that is estimated to cost </w:t>
      </w:r>
      <w:r w:rsidRPr="008A22FA">
        <w:rPr>
          <w:sz w:val="22"/>
          <w:szCs w:val="22"/>
        </w:rPr>
        <w:t>$34 million</w:t>
      </w:r>
      <w:r>
        <w:rPr>
          <w:sz w:val="22"/>
          <w:szCs w:val="22"/>
        </w:rPr>
        <w:t xml:space="preserve">. </w:t>
      </w:r>
      <w:r w:rsidR="00083EC5" w:rsidRPr="00083EC5">
        <w:rPr>
          <w:sz w:val="22"/>
          <w:szCs w:val="22"/>
        </w:rPr>
        <w:t xml:space="preserve">This project </w:t>
      </w:r>
      <w:r w:rsidR="00C54E59">
        <w:rPr>
          <w:sz w:val="22"/>
          <w:szCs w:val="22"/>
        </w:rPr>
        <w:t xml:space="preserve">has completed </w:t>
      </w:r>
      <w:r w:rsidR="00083EC5" w:rsidRPr="00083EC5">
        <w:rPr>
          <w:sz w:val="22"/>
          <w:szCs w:val="22"/>
        </w:rPr>
        <w:t>the RPG review</w:t>
      </w:r>
      <w:r w:rsidR="00C54E59">
        <w:rPr>
          <w:sz w:val="22"/>
          <w:szCs w:val="22"/>
        </w:rPr>
        <w:t>,</w:t>
      </w:r>
      <w:r w:rsidR="00083EC5" w:rsidRPr="00083EC5">
        <w:rPr>
          <w:sz w:val="22"/>
          <w:szCs w:val="22"/>
        </w:rPr>
        <w:t xml:space="preserve"> and </w:t>
      </w:r>
      <w:r w:rsidR="00C54E59">
        <w:rPr>
          <w:sz w:val="22"/>
          <w:szCs w:val="22"/>
        </w:rPr>
        <w:t>ERCOT has issued the RPG acceptance letter</w:t>
      </w:r>
      <w:r>
        <w:rPr>
          <w:sz w:val="22"/>
          <w:szCs w:val="22"/>
        </w:rPr>
        <w:t>.</w:t>
      </w:r>
    </w:p>
    <w:p w14:paraId="4F298293" w14:textId="77777777" w:rsidR="003B4163" w:rsidRDefault="003B4163"/>
    <w:p w14:paraId="4F29829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</w:t>
      </w:r>
      <w:proofErr w:type="spellStart"/>
      <w:r>
        <w:rPr>
          <w:sz w:val="22"/>
          <w:szCs w:val="22"/>
        </w:rPr>
        <w:t>listserve</w:t>
      </w:r>
      <w:proofErr w:type="spellEnd"/>
      <w:r>
        <w:rPr>
          <w:sz w:val="22"/>
          <w:szCs w:val="22"/>
        </w:rPr>
        <w:t xml:space="preserve">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F29829D" w14:textId="4BD21B91" w:rsidR="007428B6" w:rsidRPr="007428B6" w:rsidRDefault="00C277A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March 1, 2019</w:t>
      </w:r>
      <w:r w:rsidR="007428B6">
        <w:rPr>
          <w:rFonts w:eastAsia="SymbolMT"/>
          <w:sz w:val="22"/>
          <w:szCs w:val="22"/>
        </w:rPr>
        <w:tab/>
      </w:r>
      <w:r w:rsidR="007428B6">
        <w:rPr>
          <w:rFonts w:eastAsia="SymbolMT"/>
          <w:sz w:val="22"/>
          <w:szCs w:val="22"/>
        </w:rPr>
        <w:tab/>
        <w:t xml:space="preserve">Post 18SSWG Update </w:t>
      </w:r>
      <w:r>
        <w:rPr>
          <w:rFonts w:eastAsia="SymbolMT"/>
          <w:sz w:val="22"/>
          <w:szCs w:val="22"/>
        </w:rPr>
        <w:t>2</w:t>
      </w:r>
      <w:r w:rsidR="007428B6">
        <w:rPr>
          <w:rFonts w:eastAsia="SymbolMT"/>
          <w:sz w:val="22"/>
          <w:szCs w:val="22"/>
        </w:rPr>
        <w:t xml:space="preserve"> Base Cases and TPIT</w:t>
      </w:r>
    </w:p>
    <w:p w14:paraId="4F29829E" w14:textId="629D1B7D" w:rsidR="00375779" w:rsidRDefault="00C277A7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March</w:t>
      </w:r>
      <w:r w:rsidR="007428B6">
        <w:rPr>
          <w:rFonts w:eastAsia="SymbolMT"/>
          <w:sz w:val="22"/>
          <w:szCs w:val="22"/>
        </w:rPr>
        <w:t xml:space="preserve"> 31</w:t>
      </w:r>
      <w:r w:rsidR="00375779">
        <w:rPr>
          <w:rFonts w:eastAsia="SymbolMT"/>
          <w:sz w:val="22"/>
          <w:szCs w:val="22"/>
        </w:rPr>
        <w:t>, 201</w:t>
      </w:r>
      <w:r>
        <w:rPr>
          <w:rFonts w:eastAsia="SymbolMT"/>
          <w:sz w:val="22"/>
          <w:szCs w:val="22"/>
        </w:rPr>
        <w:t>9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14:paraId="4F29829F" w14:textId="666C9C09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</w:t>
      </w:r>
      <w:r w:rsidR="00DD72F6">
        <w:rPr>
          <w:rFonts w:eastAsia="SymbolMT"/>
          <w:sz w:val="22"/>
          <w:szCs w:val="22"/>
        </w:rPr>
        <w:t>s</w:t>
      </w:r>
      <w:r w:rsidR="00375779">
        <w:rPr>
          <w:rFonts w:eastAsia="SymbolMT"/>
          <w:sz w:val="22"/>
          <w:szCs w:val="22"/>
        </w:rPr>
        <w:t xml:space="preserve"> shown in red have received a notification that the 60</w:t>
      </w:r>
      <w:r w:rsidR="00F246BA">
        <w:rPr>
          <w:rFonts w:eastAsia="SymbolMT"/>
          <w:sz w:val="22"/>
          <w:szCs w:val="22"/>
        </w:rPr>
        <w:t>-</w:t>
      </w:r>
      <w:r w:rsidR="00375779">
        <w:rPr>
          <w:rFonts w:eastAsia="SymbolMT"/>
          <w:sz w:val="22"/>
          <w:szCs w:val="22"/>
        </w:rPr>
        <w:t>day deadline has past and the set of planning data has not been received.</w:t>
      </w:r>
      <w:r w:rsidR="00574D4D">
        <w:rPr>
          <w:rFonts w:eastAsia="SymbolMT"/>
          <w:sz w:val="22"/>
          <w:szCs w:val="22"/>
        </w:rPr>
        <w:t xml:space="preserve"> </w:t>
      </w:r>
    </w:p>
    <w:p w14:paraId="4F2982A0" w14:textId="3B67BC92"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t xml:space="preserve"> </w:t>
      </w:r>
      <w:r w:rsidR="00B0096F">
        <w:rPr>
          <w:noProof/>
        </w:rPr>
        <w:drawing>
          <wp:inline distT="0" distB="0" distL="0" distR="0" wp14:anchorId="5AB4CFFC" wp14:editId="081DF5D0">
            <wp:extent cx="6858000" cy="53009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1" w14:textId="77777777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4F2982A2" w14:textId="15BA1066" w:rsidR="005153AC" w:rsidRDefault="00CE7487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63F3A0FE" wp14:editId="17BD7D46">
            <wp:extent cx="5212080" cy="3886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mianBasinOilRigCount_01.201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1E13C6FD" w:rsidR="00134186" w:rsidRPr="006C4750" w:rsidRDefault="00CE7487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D81ADFE" wp14:editId="5B7BABBD">
            <wp:extent cx="5212080" cy="3886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2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4F2982A5" w14:textId="681E1746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has started its 2019 Regional Transmission Plan case building process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The load review process, as required by Planning Guide Section 3.1.7, is currently in progress. TSPs are requested to provide updates/justification for submitted load levels to be used in the 2019 RTP cases based on their review of ERCOT-provided load </w:t>
      </w:r>
      <w:r w:rsidR="00117FE8">
        <w:rPr>
          <w:sz w:val="22"/>
          <w:szCs w:val="22"/>
        </w:rPr>
        <w:t xml:space="preserve">comparisons. </w:t>
      </w:r>
    </w:p>
    <w:p w14:paraId="4C89F9AA" w14:textId="0E39A887" w:rsidR="001A3A76" w:rsidRDefault="001A3A7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address PUC Order 46304 Directive 6 and 8, </w:t>
      </w:r>
      <w:r w:rsidR="007218E0">
        <w:rPr>
          <w:sz w:val="22"/>
          <w:szCs w:val="22"/>
        </w:rPr>
        <w:t xml:space="preserve">ERCOT is currently conducting </w:t>
      </w:r>
      <w:r>
        <w:rPr>
          <w:sz w:val="22"/>
          <w:szCs w:val="22"/>
        </w:rPr>
        <w:t xml:space="preserve">studies to determine what transmission upgrades, if any, are necessary to manage congestion resulting from power flows over </w:t>
      </w:r>
      <w:r w:rsidR="007218E0">
        <w:rPr>
          <w:sz w:val="22"/>
          <w:szCs w:val="22"/>
        </w:rPr>
        <w:t>the Southern Cross DC Tie</w:t>
      </w:r>
      <w:r>
        <w:rPr>
          <w:sz w:val="22"/>
          <w:szCs w:val="22"/>
        </w:rPr>
        <w:t xml:space="preserve"> and if Southern Cross DC Tie should be required to provide or procure voltage support service.</w:t>
      </w:r>
      <w:r w:rsidR="008D2395">
        <w:rPr>
          <w:sz w:val="22"/>
          <w:szCs w:val="22"/>
        </w:rPr>
        <w:t xml:space="preserve">  This study is expected to be complete in Q1, 2019.</w:t>
      </w:r>
    </w:p>
    <w:p w14:paraId="081692C7" w14:textId="6D64C1BC" w:rsidR="008D2395" w:rsidRDefault="00F80D27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As a f</w:t>
      </w:r>
      <w:r w:rsidR="001A3A76">
        <w:rPr>
          <w:sz w:val="22"/>
          <w:szCs w:val="22"/>
        </w:rPr>
        <w:t xml:space="preserve">ollow up </w:t>
      </w:r>
      <w:r>
        <w:rPr>
          <w:sz w:val="22"/>
          <w:szCs w:val="22"/>
        </w:rPr>
        <w:t xml:space="preserve">to </w:t>
      </w:r>
      <w:r w:rsidR="001A3A76">
        <w:rPr>
          <w:sz w:val="22"/>
          <w:szCs w:val="22"/>
        </w:rPr>
        <w:t xml:space="preserve">the 2018 Panhandle and South Texas Stability and System Strength Assessment, </w:t>
      </w:r>
      <w:r w:rsidR="008D2395">
        <w:rPr>
          <w:sz w:val="22"/>
          <w:szCs w:val="22"/>
        </w:rPr>
        <w:t>ERCOT is currently conducting a</w:t>
      </w:r>
      <w:r w:rsidR="001A3A76">
        <w:rPr>
          <w:sz w:val="22"/>
          <w:szCs w:val="22"/>
        </w:rPr>
        <w:t xml:space="preserve"> study</w:t>
      </w:r>
      <w:r w:rsidR="008D2395">
        <w:rPr>
          <w:sz w:val="22"/>
          <w:szCs w:val="22"/>
        </w:rPr>
        <w:t xml:space="preserve"> to assess the stability of the Panhandle region with the improved detailed PSCAD models of the transmission and generation </w:t>
      </w:r>
      <w:proofErr w:type="spellStart"/>
      <w:r w:rsidR="008D2395">
        <w:rPr>
          <w:sz w:val="22"/>
          <w:szCs w:val="22"/>
        </w:rPr>
        <w:t>facilitites</w:t>
      </w:r>
      <w:proofErr w:type="spellEnd"/>
      <w:r w:rsidR="008D2395">
        <w:rPr>
          <w:sz w:val="22"/>
          <w:szCs w:val="22"/>
        </w:rPr>
        <w:t xml:space="preserve"> in the study region.  This study is expected to be complete in Q1, 2019. </w:t>
      </w:r>
    </w:p>
    <w:p w14:paraId="2CD75D47" w14:textId="2CCBF4E3" w:rsidR="007218E0" w:rsidRDefault="008D2395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ERCOT, in coordination with DWG, has started the 2019 DWG Flat Start case development and is expected to be complete in February, 2019.</w:t>
      </w:r>
    </w:p>
    <w:p w14:paraId="4F2982A9" w14:textId="5F76FCCB" w:rsidR="008173EC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3630BC">
        <w:rPr>
          <w:sz w:val="22"/>
          <w:szCs w:val="22"/>
        </w:rPr>
        <w:t xml:space="preserve">The SPWG </w:t>
      </w:r>
      <w:r w:rsidR="00C277A7" w:rsidRPr="003630BC">
        <w:rPr>
          <w:sz w:val="22"/>
          <w:szCs w:val="22"/>
        </w:rPr>
        <w:t xml:space="preserve">has begun </w:t>
      </w:r>
      <w:r w:rsidR="008857C3" w:rsidRPr="003630BC">
        <w:rPr>
          <w:sz w:val="22"/>
          <w:szCs w:val="22"/>
        </w:rPr>
        <w:t>the 201</w:t>
      </w:r>
      <w:r w:rsidR="00C277A7" w:rsidRPr="003630BC">
        <w:rPr>
          <w:sz w:val="22"/>
          <w:szCs w:val="22"/>
        </w:rPr>
        <w:t>9</w:t>
      </w:r>
      <w:r w:rsidR="008857C3" w:rsidRPr="003630BC">
        <w:rPr>
          <w:sz w:val="22"/>
          <w:szCs w:val="22"/>
        </w:rPr>
        <w:t xml:space="preserve"> </w:t>
      </w:r>
      <w:r w:rsidR="0009216D" w:rsidRPr="003630BC">
        <w:rPr>
          <w:sz w:val="22"/>
          <w:szCs w:val="22"/>
        </w:rPr>
        <w:t>C</w:t>
      </w:r>
      <w:r w:rsidR="008857C3" w:rsidRPr="003630BC">
        <w:rPr>
          <w:sz w:val="22"/>
          <w:szCs w:val="22"/>
        </w:rPr>
        <w:t>Y base case</w:t>
      </w:r>
      <w:r w:rsidR="00C277A7" w:rsidRPr="003630BC">
        <w:rPr>
          <w:sz w:val="22"/>
          <w:szCs w:val="22"/>
        </w:rPr>
        <w:t xml:space="preserve"> development.</w:t>
      </w:r>
      <w:r w:rsidR="0009216D" w:rsidRPr="003630BC">
        <w:rPr>
          <w:sz w:val="22"/>
          <w:szCs w:val="22"/>
        </w:rPr>
        <w:t xml:space="preserve"> </w:t>
      </w:r>
    </w:p>
    <w:p w14:paraId="4F2982AB" w14:textId="56DA1A73" w:rsidR="00B04F56" w:rsidRPr="003630BC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8E8C2" w14:textId="77777777" w:rsidR="00274BFA" w:rsidRDefault="00274BFA">
      <w:r>
        <w:separator/>
      </w:r>
    </w:p>
  </w:endnote>
  <w:endnote w:type="continuationSeparator" w:id="0">
    <w:p w14:paraId="523876A4" w14:textId="77777777" w:rsidR="00274BFA" w:rsidRDefault="002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027F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EFE01" w14:textId="77777777" w:rsidR="00274BFA" w:rsidRDefault="00274BFA">
      <w:r>
        <w:separator/>
      </w:r>
    </w:p>
  </w:footnote>
  <w:footnote w:type="continuationSeparator" w:id="0">
    <w:p w14:paraId="7A47FB3F" w14:textId="77777777" w:rsidR="00274BFA" w:rsidRDefault="00274BFA">
      <w:r>
        <w:continuationSeparator/>
      </w:r>
    </w:p>
  </w:footnote>
  <w:footnote w:id="1">
    <w:p w14:paraId="4F2982BA" w14:textId="36E5025C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+/- </w:t>
      </w:r>
      <w:proofErr w:type="gramStart"/>
      <w:r>
        <w:rPr>
          <w:lang w:val="en-US"/>
        </w:rPr>
        <w:t>symbol</w:t>
      </w:r>
      <w:proofErr w:type="gramEnd"/>
      <w:r>
        <w:rPr>
          <w:lang w:val="en-US"/>
        </w:rPr>
        <w:t xml:space="preserve">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CE7487">
        <w:rPr>
          <w:lang w:val="en-US"/>
        </w:rPr>
        <w:t xml:space="preserve">372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CE7487">
        <w:rPr>
          <w:lang w:val="en-US"/>
        </w:rPr>
        <w:t>1</w:t>
      </w:r>
      <w:r w:rsidR="00D649F7">
        <w:rPr>
          <w:lang w:val="en-US"/>
        </w:rPr>
        <w:t>3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CE7487">
        <w:rPr>
          <w:lang w:val="en-US"/>
        </w:rPr>
        <w:t xml:space="preserve">December 2018 </w:t>
      </w:r>
      <w:r w:rsidR="00676299">
        <w:rPr>
          <w:lang w:val="en-US"/>
        </w:rPr>
        <w:t xml:space="preserve">to </w:t>
      </w:r>
      <w:r w:rsidR="00CE7487">
        <w:rPr>
          <w:lang w:val="en-US"/>
        </w:rPr>
        <w:t>January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98269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87D1B-15A3-4790-B612-8F030780093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85C31-96B0-4B83-B171-0FC7BE3D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4306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Schneider, Sherry</cp:lastModifiedBy>
  <cp:revision>2</cp:revision>
  <cp:lastPrinted>2014-05-02T13:13:00Z</cp:lastPrinted>
  <dcterms:created xsi:type="dcterms:W3CDTF">2019-02-11T20:55:00Z</dcterms:created>
  <dcterms:modified xsi:type="dcterms:W3CDTF">2019-02-11T20:55:00Z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