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2A44CED" w14:textId="001BF9EA" w:rsidR="00BF42BC" w:rsidRDefault="009B69C4" w:rsidP="00260029">
      <w:pPr>
        <w:spacing w:after="0" w:line="240" w:lineRule="auto"/>
        <w:jc w:val="center"/>
        <w:rPr>
          <w:rFonts w:ascii="Arial" w:hAnsi="Arial" w:cs="Arial"/>
          <w:sz w:val="24"/>
          <w:szCs w:val="24"/>
        </w:rPr>
      </w:pPr>
      <w:bookmarkStart w:id="0" w:name="_GoBack"/>
      <w:bookmarkEnd w:id="0"/>
      <w:r w:rsidRPr="00586F73">
        <w:rPr>
          <w:rFonts w:ascii="Arial" w:hAnsi="Arial" w:cs="Arial"/>
          <w:b/>
          <w:bCs/>
          <w:sz w:val="24"/>
          <w:szCs w:val="24"/>
        </w:rPr>
        <w:t>Gas-Electric Coordination Working Group Charter</w:t>
      </w:r>
    </w:p>
    <w:p w14:paraId="7427CCC1" w14:textId="77777777" w:rsidR="00BF42BC" w:rsidRPr="00586F73" w:rsidRDefault="00BF42BC" w:rsidP="00260029">
      <w:pPr>
        <w:spacing w:after="0" w:line="240" w:lineRule="auto"/>
        <w:jc w:val="center"/>
        <w:rPr>
          <w:rFonts w:ascii="Arial" w:hAnsi="Arial" w:cs="Arial"/>
          <w:bCs/>
          <w:sz w:val="24"/>
          <w:szCs w:val="24"/>
        </w:rPr>
      </w:pPr>
    </w:p>
    <w:p w14:paraId="21194289" w14:textId="5486741F" w:rsidR="00BF42BC" w:rsidRDefault="009B69C4" w:rsidP="00586F73">
      <w:pPr>
        <w:spacing w:after="0" w:line="240" w:lineRule="auto"/>
        <w:jc w:val="both"/>
        <w:rPr>
          <w:rFonts w:ascii="Arial" w:hAnsi="Arial" w:cs="Arial"/>
          <w:sz w:val="24"/>
          <w:szCs w:val="24"/>
        </w:rPr>
      </w:pPr>
      <w:r w:rsidRPr="00586F73">
        <w:rPr>
          <w:rFonts w:ascii="Arial" w:hAnsi="Arial" w:cs="Arial"/>
          <w:sz w:val="24"/>
          <w:szCs w:val="24"/>
        </w:rPr>
        <w:t xml:space="preserve">The </w:t>
      </w:r>
      <w:r w:rsidR="00BB0B1B" w:rsidRPr="00586F73">
        <w:rPr>
          <w:rFonts w:ascii="Arial" w:hAnsi="Arial" w:cs="Arial"/>
          <w:sz w:val="24"/>
          <w:szCs w:val="24"/>
        </w:rPr>
        <w:t>Gas-Electric Coordination Working Group (</w:t>
      </w:r>
      <w:r w:rsidRPr="00586F73">
        <w:rPr>
          <w:rFonts w:ascii="Arial" w:hAnsi="Arial" w:cs="Arial"/>
          <w:sz w:val="24"/>
          <w:szCs w:val="24"/>
        </w:rPr>
        <w:t>GEWG</w:t>
      </w:r>
      <w:r w:rsidR="00BB0B1B" w:rsidRPr="00586F73">
        <w:rPr>
          <w:rFonts w:ascii="Arial" w:hAnsi="Arial" w:cs="Arial"/>
          <w:sz w:val="24"/>
          <w:szCs w:val="24"/>
        </w:rPr>
        <w:t>)</w:t>
      </w:r>
      <w:r w:rsidRPr="00586F73">
        <w:rPr>
          <w:rFonts w:ascii="Arial" w:hAnsi="Arial" w:cs="Arial"/>
          <w:sz w:val="24"/>
          <w:szCs w:val="24"/>
        </w:rPr>
        <w:t xml:space="preserve"> </w:t>
      </w:r>
      <w:r w:rsidR="001D01B6" w:rsidRPr="00586F73">
        <w:rPr>
          <w:rFonts w:ascii="Arial" w:hAnsi="Arial" w:cs="Arial"/>
          <w:sz w:val="24"/>
          <w:szCs w:val="24"/>
        </w:rPr>
        <w:t xml:space="preserve">is </w:t>
      </w:r>
      <w:r w:rsidRPr="00586F73">
        <w:rPr>
          <w:rFonts w:ascii="Arial" w:hAnsi="Arial" w:cs="Arial"/>
          <w:sz w:val="24"/>
          <w:szCs w:val="24"/>
        </w:rPr>
        <w:t xml:space="preserve">a forum to facilitate information sharing and coordination between the gas pipeline industry and the electric </w:t>
      </w:r>
      <w:r w:rsidR="00562DE4" w:rsidRPr="00586F73">
        <w:rPr>
          <w:rFonts w:ascii="Arial" w:hAnsi="Arial" w:cs="Arial"/>
          <w:sz w:val="24"/>
          <w:szCs w:val="24"/>
        </w:rPr>
        <w:t xml:space="preserve">utility </w:t>
      </w:r>
      <w:r w:rsidRPr="00586F73">
        <w:rPr>
          <w:rFonts w:ascii="Arial" w:hAnsi="Arial" w:cs="Arial"/>
          <w:sz w:val="24"/>
          <w:szCs w:val="24"/>
        </w:rPr>
        <w:t xml:space="preserve">industry for the purpose of maintaining electric system reliability in the ERCOT Region.  </w:t>
      </w:r>
      <w:r w:rsidR="00025D4E" w:rsidRPr="00586F73">
        <w:rPr>
          <w:rFonts w:ascii="Arial" w:hAnsi="Arial" w:cs="Arial"/>
          <w:sz w:val="24"/>
          <w:szCs w:val="24"/>
        </w:rPr>
        <w:t>T</w:t>
      </w:r>
      <w:r w:rsidR="00CF7A61" w:rsidRPr="00586F73">
        <w:rPr>
          <w:rFonts w:ascii="Arial" w:hAnsi="Arial" w:cs="Arial"/>
          <w:sz w:val="24"/>
          <w:szCs w:val="24"/>
        </w:rPr>
        <w:t xml:space="preserve">opics </w:t>
      </w:r>
      <w:r w:rsidR="00FB533D" w:rsidRPr="00586F73">
        <w:rPr>
          <w:rFonts w:ascii="Arial" w:hAnsi="Arial" w:cs="Arial"/>
          <w:sz w:val="24"/>
          <w:szCs w:val="24"/>
        </w:rPr>
        <w:t xml:space="preserve">may </w:t>
      </w:r>
      <w:r w:rsidR="00025D4E" w:rsidRPr="00586F73">
        <w:rPr>
          <w:rFonts w:ascii="Arial" w:hAnsi="Arial" w:cs="Arial"/>
          <w:sz w:val="24"/>
          <w:szCs w:val="24"/>
        </w:rPr>
        <w:t>include, but are not limited to</w:t>
      </w:r>
      <w:r w:rsidR="00FB533D" w:rsidRPr="00586F73">
        <w:rPr>
          <w:rFonts w:ascii="Arial" w:hAnsi="Arial" w:cs="Arial"/>
          <w:sz w:val="24"/>
          <w:szCs w:val="24"/>
        </w:rPr>
        <w:t>,</w:t>
      </w:r>
      <w:r w:rsidR="00025D4E" w:rsidRPr="00586F73">
        <w:rPr>
          <w:rFonts w:ascii="Arial" w:hAnsi="Arial" w:cs="Arial"/>
          <w:sz w:val="24"/>
          <w:szCs w:val="24"/>
        </w:rPr>
        <w:t xml:space="preserve"> the following: pre-Summer activities and communication readiness</w:t>
      </w:r>
      <w:r w:rsidR="00FB533D" w:rsidRPr="00586F73">
        <w:rPr>
          <w:rFonts w:ascii="Arial" w:hAnsi="Arial" w:cs="Arial"/>
          <w:sz w:val="24"/>
          <w:szCs w:val="24"/>
        </w:rPr>
        <w:t xml:space="preserve"> (including updated points of contact)</w:t>
      </w:r>
      <w:r w:rsidR="00025D4E" w:rsidRPr="00586F73">
        <w:rPr>
          <w:rFonts w:ascii="Arial" w:hAnsi="Arial" w:cs="Arial"/>
          <w:sz w:val="24"/>
          <w:szCs w:val="24"/>
        </w:rPr>
        <w:t xml:space="preserve">, </w:t>
      </w:r>
      <w:r w:rsidR="00CF7A61" w:rsidRPr="00586F73">
        <w:rPr>
          <w:rFonts w:ascii="Arial" w:hAnsi="Arial" w:cs="Arial"/>
          <w:sz w:val="24"/>
          <w:szCs w:val="24"/>
        </w:rPr>
        <w:t>consideration of electric system conditions in gas pipeline outage planning, inclusion of gas considerations in</w:t>
      </w:r>
      <w:r w:rsidR="001D01B6" w:rsidRPr="00586F73">
        <w:rPr>
          <w:rFonts w:ascii="Arial" w:hAnsi="Arial" w:cs="Arial"/>
          <w:sz w:val="24"/>
          <w:szCs w:val="24"/>
        </w:rPr>
        <w:t xml:space="preserve"> system restoration and</w:t>
      </w:r>
      <w:r w:rsidR="00CF7A61" w:rsidRPr="00586F73">
        <w:rPr>
          <w:rFonts w:ascii="Arial" w:hAnsi="Arial" w:cs="Arial"/>
          <w:sz w:val="24"/>
          <w:szCs w:val="24"/>
        </w:rPr>
        <w:t xml:space="preserve"> black start plan development, </w:t>
      </w:r>
      <w:r w:rsidR="0036752A" w:rsidRPr="00586F73">
        <w:rPr>
          <w:rFonts w:ascii="Arial" w:hAnsi="Arial" w:cs="Arial"/>
          <w:sz w:val="24"/>
          <w:szCs w:val="24"/>
        </w:rPr>
        <w:t xml:space="preserve">issues where </w:t>
      </w:r>
      <w:r w:rsidR="00562DE4" w:rsidRPr="00586F73">
        <w:rPr>
          <w:rFonts w:ascii="Arial" w:hAnsi="Arial" w:cs="Arial"/>
          <w:sz w:val="24"/>
          <w:szCs w:val="24"/>
        </w:rPr>
        <w:t xml:space="preserve">electric utility </w:t>
      </w:r>
      <w:r w:rsidR="0036752A" w:rsidRPr="00586F73">
        <w:rPr>
          <w:rFonts w:ascii="Arial" w:hAnsi="Arial" w:cs="Arial"/>
          <w:sz w:val="24"/>
          <w:szCs w:val="24"/>
        </w:rPr>
        <w:t>industry is dependent upon</w:t>
      </w:r>
      <w:r w:rsidR="00562DE4" w:rsidRPr="00586F73">
        <w:rPr>
          <w:rFonts w:ascii="Arial" w:hAnsi="Arial" w:cs="Arial"/>
          <w:sz w:val="24"/>
          <w:szCs w:val="24"/>
        </w:rPr>
        <w:t xml:space="preserve"> gas pipeline industry, </w:t>
      </w:r>
      <w:r w:rsidR="00CF7A61" w:rsidRPr="00586F73">
        <w:rPr>
          <w:rFonts w:ascii="Arial" w:hAnsi="Arial" w:cs="Arial"/>
          <w:sz w:val="24"/>
          <w:szCs w:val="24"/>
        </w:rPr>
        <w:t>and appropriate avoidance of gas facilities needed for generation availability in rotating outage plans</w:t>
      </w:r>
      <w:r w:rsidR="00FB533D" w:rsidRPr="00586F73">
        <w:rPr>
          <w:rFonts w:ascii="Arial" w:hAnsi="Arial" w:cs="Arial"/>
          <w:sz w:val="24"/>
          <w:szCs w:val="24"/>
        </w:rPr>
        <w:t xml:space="preserve"> by Transmission and/or Distribution Service Providers</w:t>
      </w:r>
      <w:r w:rsidR="00CF7A61" w:rsidRPr="00586F73">
        <w:rPr>
          <w:rFonts w:ascii="Arial" w:hAnsi="Arial" w:cs="Arial"/>
          <w:sz w:val="24"/>
          <w:szCs w:val="24"/>
        </w:rPr>
        <w:t>.</w:t>
      </w:r>
    </w:p>
    <w:p w14:paraId="470B3EA1" w14:textId="611A456E" w:rsidR="00FB533D" w:rsidRPr="00586F73" w:rsidRDefault="00CF7A61" w:rsidP="00586F73">
      <w:pPr>
        <w:spacing w:after="0" w:line="240" w:lineRule="auto"/>
        <w:jc w:val="both"/>
        <w:rPr>
          <w:rFonts w:ascii="Arial" w:hAnsi="Arial" w:cs="Arial"/>
          <w:sz w:val="24"/>
          <w:szCs w:val="24"/>
        </w:rPr>
      </w:pPr>
      <w:r w:rsidRPr="00586F73">
        <w:rPr>
          <w:rFonts w:ascii="Arial" w:hAnsi="Arial" w:cs="Arial"/>
          <w:sz w:val="24"/>
          <w:szCs w:val="24"/>
        </w:rPr>
        <w:t xml:space="preserve">  </w:t>
      </w:r>
    </w:p>
    <w:p w14:paraId="1B6A3978" w14:textId="2191A5E2" w:rsidR="00BE0535" w:rsidRPr="00586F73" w:rsidRDefault="00CF7A61" w:rsidP="00AF16D8">
      <w:pPr>
        <w:jc w:val="both"/>
        <w:rPr>
          <w:rFonts w:ascii="Arial" w:hAnsi="Arial" w:cs="Arial"/>
          <w:sz w:val="24"/>
          <w:szCs w:val="24"/>
        </w:rPr>
      </w:pPr>
      <w:r w:rsidRPr="00586F73">
        <w:rPr>
          <w:rFonts w:ascii="Arial" w:hAnsi="Arial" w:cs="Arial"/>
          <w:sz w:val="24"/>
          <w:szCs w:val="24"/>
        </w:rPr>
        <w:t>The GEWG encourage</w:t>
      </w:r>
      <w:r w:rsidR="001D01B6" w:rsidRPr="00586F73">
        <w:rPr>
          <w:rFonts w:ascii="Arial" w:hAnsi="Arial" w:cs="Arial"/>
          <w:sz w:val="24"/>
          <w:szCs w:val="24"/>
        </w:rPr>
        <w:t xml:space="preserve">s </w:t>
      </w:r>
      <w:r w:rsidR="007D255C" w:rsidRPr="00586F73">
        <w:rPr>
          <w:rFonts w:ascii="Arial" w:hAnsi="Arial" w:cs="Arial"/>
          <w:sz w:val="24"/>
          <w:szCs w:val="24"/>
        </w:rPr>
        <w:t>industry</w:t>
      </w:r>
      <w:r w:rsidR="00FB533D" w:rsidRPr="00586F73">
        <w:rPr>
          <w:rFonts w:ascii="Arial" w:hAnsi="Arial" w:cs="Arial"/>
          <w:sz w:val="24"/>
          <w:szCs w:val="24"/>
        </w:rPr>
        <w:t xml:space="preserve"> knowledge sharing</w:t>
      </w:r>
      <w:r w:rsidR="007D255C" w:rsidRPr="00586F73">
        <w:rPr>
          <w:rFonts w:ascii="Arial" w:hAnsi="Arial" w:cs="Arial"/>
          <w:sz w:val="24"/>
          <w:szCs w:val="24"/>
        </w:rPr>
        <w:t xml:space="preserve"> among participants and their employers, as well as establishing </w:t>
      </w:r>
      <w:r w:rsidR="00FB533D" w:rsidRPr="00586F73">
        <w:rPr>
          <w:rFonts w:ascii="Arial" w:hAnsi="Arial" w:cs="Arial"/>
          <w:sz w:val="24"/>
          <w:szCs w:val="24"/>
        </w:rPr>
        <w:t xml:space="preserve">consistent </w:t>
      </w:r>
      <w:r w:rsidR="007D255C" w:rsidRPr="00586F73">
        <w:rPr>
          <w:rFonts w:ascii="Arial" w:hAnsi="Arial" w:cs="Arial"/>
          <w:sz w:val="24"/>
          <w:szCs w:val="24"/>
        </w:rPr>
        <w:t xml:space="preserve">communications channels and </w:t>
      </w:r>
      <w:r w:rsidR="00AB380A">
        <w:rPr>
          <w:rFonts w:ascii="Arial" w:hAnsi="Arial" w:cs="Arial"/>
          <w:sz w:val="24"/>
          <w:szCs w:val="24"/>
        </w:rPr>
        <w:t xml:space="preserve">points of </w:t>
      </w:r>
      <w:r w:rsidR="007D255C" w:rsidRPr="00586F73">
        <w:rPr>
          <w:rFonts w:ascii="Arial" w:hAnsi="Arial" w:cs="Arial"/>
          <w:sz w:val="24"/>
          <w:szCs w:val="24"/>
        </w:rPr>
        <w:t xml:space="preserve">contact in advance of </w:t>
      </w:r>
      <w:r w:rsidR="00AF16D8">
        <w:rPr>
          <w:rFonts w:ascii="Arial" w:hAnsi="Arial" w:cs="Arial"/>
          <w:sz w:val="24"/>
          <w:szCs w:val="24"/>
        </w:rPr>
        <w:t xml:space="preserve">potential </w:t>
      </w:r>
      <w:r w:rsidR="007D255C" w:rsidRPr="00586F73">
        <w:rPr>
          <w:rFonts w:ascii="Arial" w:hAnsi="Arial" w:cs="Arial"/>
          <w:sz w:val="24"/>
          <w:szCs w:val="24"/>
        </w:rPr>
        <w:t xml:space="preserve">events during which direct communication would improve reliability.  The GEWG </w:t>
      </w:r>
      <w:r w:rsidR="00671543">
        <w:rPr>
          <w:rFonts w:ascii="Arial" w:hAnsi="Arial" w:cs="Arial"/>
          <w:sz w:val="24"/>
          <w:szCs w:val="24"/>
        </w:rPr>
        <w:t xml:space="preserve">is not intended to “get in the middle” of any </w:t>
      </w:r>
      <w:r w:rsidR="007D255C" w:rsidRPr="00586F73">
        <w:rPr>
          <w:rFonts w:ascii="Arial" w:hAnsi="Arial" w:cs="Arial"/>
          <w:sz w:val="24"/>
          <w:szCs w:val="24"/>
        </w:rPr>
        <w:t>commercial relationships between gas pipelines and suppliers and electric generators.</w:t>
      </w:r>
    </w:p>
    <w:p w14:paraId="6EFD8220" w14:textId="006583F2" w:rsidR="009B69C4" w:rsidRPr="00586F73" w:rsidRDefault="00BE0535" w:rsidP="00586F73">
      <w:pPr>
        <w:jc w:val="both"/>
        <w:rPr>
          <w:rFonts w:ascii="Arial" w:hAnsi="Arial" w:cs="Arial"/>
          <w:b/>
          <w:sz w:val="24"/>
          <w:szCs w:val="24"/>
        </w:rPr>
      </w:pPr>
      <w:r w:rsidRPr="00586F73">
        <w:rPr>
          <w:rFonts w:ascii="Arial" w:hAnsi="Arial" w:cs="Arial"/>
          <w:sz w:val="24"/>
          <w:szCs w:val="24"/>
        </w:rPr>
        <w:t xml:space="preserve">The GEWG is considered an “Other Group” </w:t>
      </w:r>
      <w:r w:rsidR="00FB533D" w:rsidRPr="00586F73">
        <w:rPr>
          <w:rFonts w:ascii="Arial" w:hAnsi="Arial" w:cs="Arial"/>
          <w:sz w:val="24"/>
          <w:szCs w:val="24"/>
        </w:rPr>
        <w:t xml:space="preserve">under Electric Reliability Council of Texas, Inc. (ERCOT) </w:t>
      </w:r>
      <w:r w:rsidRPr="00586F73">
        <w:rPr>
          <w:rFonts w:ascii="Arial" w:hAnsi="Arial" w:cs="Arial"/>
          <w:sz w:val="24"/>
          <w:szCs w:val="24"/>
        </w:rPr>
        <w:t xml:space="preserve">and therefore does not report directly to the ERCOT Board of Directors (ERCOT Board), the Technical Advisory Committee (TAC) or any TAC Subcommittee.  </w:t>
      </w:r>
      <w:r w:rsidR="007D255C" w:rsidRPr="00586F73">
        <w:rPr>
          <w:rFonts w:ascii="Arial" w:hAnsi="Arial" w:cs="Arial"/>
          <w:sz w:val="24"/>
          <w:szCs w:val="24"/>
        </w:rPr>
        <w:t xml:space="preserve">    </w:t>
      </w:r>
      <w:r w:rsidR="00CF7A61" w:rsidRPr="00586F73">
        <w:rPr>
          <w:rFonts w:ascii="Arial" w:hAnsi="Arial" w:cs="Arial"/>
          <w:sz w:val="24"/>
          <w:szCs w:val="24"/>
        </w:rPr>
        <w:t xml:space="preserve">  </w:t>
      </w:r>
    </w:p>
    <w:p w14:paraId="7F6AEE17" w14:textId="3D17831C" w:rsidR="00025D4E" w:rsidRPr="00586F73" w:rsidRDefault="00025D4E" w:rsidP="00025D4E">
      <w:pPr>
        <w:jc w:val="both"/>
        <w:rPr>
          <w:rFonts w:ascii="Arial" w:hAnsi="Arial" w:cs="Arial"/>
          <w:b/>
          <w:sz w:val="24"/>
          <w:szCs w:val="24"/>
          <w:u w:val="single"/>
        </w:rPr>
      </w:pPr>
      <w:r w:rsidRPr="00586F73">
        <w:rPr>
          <w:rFonts w:ascii="Arial" w:hAnsi="Arial" w:cs="Arial"/>
          <w:b/>
          <w:sz w:val="24"/>
          <w:szCs w:val="24"/>
          <w:u w:val="single"/>
        </w:rPr>
        <w:t xml:space="preserve">Leadership </w:t>
      </w:r>
    </w:p>
    <w:p w14:paraId="4FC0AE5F" w14:textId="298BD343" w:rsidR="00025D4E" w:rsidRPr="00586F73" w:rsidRDefault="00025D4E" w:rsidP="00586F73">
      <w:pPr>
        <w:jc w:val="both"/>
        <w:rPr>
          <w:rFonts w:ascii="Arial" w:hAnsi="Arial" w:cs="Arial"/>
          <w:sz w:val="24"/>
          <w:szCs w:val="24"/>
        </w:rPr>
      </w:pPr>
      <w:r w:rsidRPr="00586F73">
        <w:rPr>
          <w:rFonts w:ascii="Arial" w:hAnsi="Arial" w:cs="Arial"/>
          <w:sz w:val="24"/>
          <w:szCs w:val="24"/>
        </w:rPr>
        <w:t>A representative from ERCOT serve</w:t>
      </w:r>
      <w:r w:rsidR="00AB380A">
        <w:rPr>
          <w:rFonts w:ascii="Arial" w:hAnsi="Arial" w:cs="Arial"/>
          <w:sz w:val="24"/>
          <w:szCs w:val="24"/>
        </w:rPr>
        <w:t>s</w:t>
      </w:r>
      <w:r w:rsidRPr="00586F73">
        <w:rPr>
          <w:rFonts w:ascii="Arial" w:hAnsi="Arial" w:cs="Arial"/>
          <w:sz w:val="24"/>
          <w:szCs w:val="24"/>
        </w:rPr>
        <w:t xml:space="preserve"> as the Chair of the GEWG. </w:t>
      </w:r>
      <w:r w:rsidR="00FB533D" w:rsidRPr="00586F73">
        <w:rPr>
          <w:rFonts w:ascii="Arial" w:hAnsi="Arial" w:cs="Arial"/>
          <w:sz w:val="24"/>
          <w:szCs w:val="24"/>
        </w:rPr>
        <w:t xml:space="preserve"> </w:t>
      </w:r>
      <w:r w:rsidRPr="00586F73">
        <w:rPr>
          <w:rFonts w:ascii="Arial" w:hAnsi="Arial" w:cs="Arial"/>
          <w:sz w:val="24"/>
          <w:szCs w:val="24"/>
        </w:rPr>
        <w:t>The Vice-Chair shall be a representative from a participating gas pipeline company selected by a simple majority vote of participants at the GEWG meeting in which the election is held, for a term of 12 months from January 1 through December 31 (except for the first term which may begin upon election through December 31 of the following year).  There are no term limits for the Chair and Vice Chair positions.  To the extent a vacancy occurs for the Vice Chair, then an election will be held as needed to fulfill that position</w:t>
      </w:r>
      <w:r w:rsidR="00FB533D" w:rsidRPr="00586F73">
        <w:rPr>
          <w:rFonts w:ascii="Arial" w:hAnsi="Arial" w:cs="Arial"/>
          <w:sz w:val="24"/>
          <w:szCs w:val="24"/>
        </w:rPr>
        <w:t xml:space="preserve"> at the next GEWG</w:t>
      </w:r>
      <w:r w:rsidRPr="00586F73">
        <w:rPr>
          <w:rFonts w:ascii="Arial" w:hAnsi="Arial" w:cs="Arial"/>
          <w:sz w:val="24"/>
          <w:szCs w:val="24"/>
        </w:rPr>
        <w:t xml:space="preserve">. </w:t>
      </w:r>
    </w:p>
    <w:p w14:paraId="0E76029C" w14:textId="2DEE46CF" w:rsidR="00261B9E" w:rsidRPr="00586F73" w:rsidRDefault="0005617F" w:rsidP="00586F73">
      <w:pPr>
        <w:jc w:val="both"/>
        <w:rPr>
          <w:rFonts w:ascii="Arial" w:hAnsi="Arial" w:cs="Arial"/>
          <w:b/>
          <w:sz w:val="24"/>
          <w:szCs w:val="24"/>
          <w:u w:val="single"/>
        </w:rPr>
      </w:pPr>
      <w:r w:rsidRPr="00586F73">
        <w:rPr>
          <w:rFonts w:ascii="Arial" w:hAnsi="Arial" w:cs="Arial"/>
          <w:b/>
          <w:sz w:val="24"/>
          <w:szCs w:val="24"/>
          <w:u w:val="single"/>
        </w:rPr>
        <w:t>Participa</w:t>
      </w:r>
      <w:r w:rsidR="00261B9E" w:rsidRPr="00586F73">
        <w:rPr>
          <w:rFonts w:ascii="Arial" w:hAnsi="Arial" w:cs="Arial"/>
          <w:b/>
          <w:sz w:val="24"/>
          <w:szCs w:val="24"/>
          <w:u w:val="single"/>
        </w:rPr>
        <w:t>t</w:t>
      </w:r>
      <w:r w:rsidRPr="00586F73">
        <w:rPr>
          <w:rFonts w:ascii="Arial" w:hAnsi="Arial" w:cs="Arial"/>
          <w:b/>
          <w:sz w:val="24"/>
          <w:szCs w:val="24"/>
          <w:u w:val="single"/>
        </w:rPr>
        <w:t>ion</w:t>
      </w:r>
    </w:p>
    <w:p w14:paraId="604ECD3F" w14:textId="37D0C608" w:rsidR="0005617F" w:rsidRPr="00586F73" w:rsidRDefault="0005617F" w:rsidP="00BE0535">
      <w:pPr>
        <w:jc w:val="both"/>
        <w:rPr>
          <w:rFonts w:ascii="Arial" w:hAnsi="Arial" w:cs="Arial"/>
          <w:sz w:val="24"/>
          <w:szCs w:val="24"/>
        </w:rPr>
      </w:pPr>
      <w:r w:rsidRPr="00586F73">
        <w:rPr>
          <w:rFonts w:ascii="Arial" w:hAnsi="Arial" w:cs="Arial"/>
          <w:sz w:val="24"/>
          <w:szCs w:val="24"/>
        </w:rPr>
        <w:t>R</w:t>
      </w:r>
      <w:r w:rsidR="00261B9E" w:rsidRPr="00586F73">
        <w:rPr>
          <w:rFonts w:ascii="Arial" w:hAnsi="Arial" w:cs="Arial"/>
          <w:sz w:val="24"/>
          <w:szCs w:val="24"/>
        </w:rPr>
        <w:t xml:space="preserve">epresentatives </w:t>
      </w:r>
      <w:r w:rsidR="00AB380A">
        <w:rPr>
          <w:rFonts w:ascii="Arial" w:hAnsi="Arial" w:cs="Arial"/>
          <w:sz w:val="24"/>
          <w:szCs w:val="24"/>
        </w:rPr>
        <w:t xml:space="preserve">from </w:t>
      </w:r>
      <w:r w:rsidR="00261B9E" w:rsidRPr="00586F73">
        <w:rPr>
          <w:rFonts w:ascii="Arial" w:hAnsi="Arial" w:cs="Arial"/>
          <w:sz w:val="24"/>
          <w:szCs w:val="24"/>
        </w:rPr>
        <w:t xml:space="preserve">Transmission </w:t>
      </w:r>
      <w:r w:rsidR="0018207E" w:rsidRPr="00586F73">
        <w:rPr>
          <w:rFonts w:ascii="Arial" w:hAnsi="Arial" w:cs="Arial"/>
          <w:sz w:val="24"/>
          <w:szCs w:val="24"/>
        </w:rPr>
        <w:t xml:space="preserve">and/or Distribution </w:t>
      </w:r>
      <w:r w:rsidR="00261B9E" w:rsidRPr="00586F73">
        <w:rPr>
          <w:rFonts w:ascii="Arial" w:hAnsi="Arial" w:cs="Arial"/>
          <w:sz w:val="24"/>
          <w:szCs w:val="24"/>
        </w:rPr>
        <w:t>Service Provider</w:t>
      </w:r>
      <w:r w:rsidR="0018207E" w:rsidRPr="00586F73">
        <w:rPr>
          <w:rFonts w:ascii="Arial" w:hAnsi="Arial" w:cs="Arial"/>
          <w:sz w:val="24"/>
          <w:szCs w:val="24"/>
        </w:rPr>
        <w:t>s</w:t>
      </w:r>
      <w:r w:rsidR="00261B9E" w:rsidRPr="00586F73">
        <w:rPr>
          <w:rFonts w:ascii="Arial" w:hAnsi="Arial" w:cs="Arial"/>
          <w:sz w:val="24"/>
          <w:szCs w:val="24"/>
        </w:rPr>
        <w:t xml:space="preserve"> (T</w:t>
      </w:r>
      <w:r w:rsidR="0018207E" w:rsidRPr="00586F73">
        <w:rPr>
          <w:rFonts w:ascii="Arial" w:hAnsi="Arial" w:cs="Arial"/>
          <w:sz w:val="24"/>
          <w:szCs w:val="24"/>
        </w:rPr>
        <w:t>D</w:t>
      </w:r>
      <w:r w:rsidR="00261B9E" w:rsidRPr="00586F73">
        <w:rPr>
          <w:rFonts w:ascii="Arial" w:hAnsi="Arial" w:cs="Arial"/>
          <w:sz w:val="24"/>
          <w:szCs w:val="24"/>
        </w:rPr>
        <w:t>SP</w:t>
      </w:r>
      <w:r w:rsidR="0018207E" w:rsidRPr="00586F73">
        <w:rPr>
          <w:rFonts w:ascii="Arial" w:hAnsi="Arial" w:cs="Arial"/>
          <w:sz w:val="24"/>
          <w:szCs w:val="24"/>
        </w:rPr>
        <w:t>s</w:t>
      </w:r>
      <w:r w:rsidR="00261B9E" w:rsidRPr="00586F73">
        <w:rPr>
          <w:rFonts w:ascii="Arial" w:hAnsi="Arial" w:cs="Arial"/>
          <w:sz w:val="24"/>
          <w:szCs w:val="24"/>
        </w:rPr>
        <w:t xml:space="preserve">), </w:t>
      </w:r>
      <w:r w:rsidR="0018207E" w:rsidRPr="00586F73">
        <w:rPr>
          <w:rFonts w:ascii="Arial" w:hAnsi="Arial" w:cs="Arial"/>
          <w:sz w:val="24"/>
          <w:szCs w:val="24"/>
        </w:rPr>
        <w:t xml:space="preserve">Resource Entities, </w:t>
      </w:r>
      <w:r w:rsidR="00261B9E" w:rsidRPr="00586F73">
        <w:rPr>
          <w:rFonts w:ascii="Arial" w:hAnsi="Arial" w:cs="Arial"/>
          <w:sz w:val="24"/>
          <w:szCs w:val="24"/>
        </w:rPr>
        <w:t xml:space="preserve">intrastate and interstate natural gas pipeline operators that </w:t>
      </w:r>
      <w:r w:rsidR="00A741EB" w:rsidRPr="00586F73">
        <w:rPr>
          <w:rFonts w:ascii="Arial" w:hAnsi="Arial" w:cs="Arial"/>
          <w:sz w:val="24"/>
          <w:szCs w:val="24"/>
        </w:rPr>
        <w:t xml:space="preserve">directly or indirectly </w:t>
      </w:r>
      <w:r w:rsidR="00261B9E" w:rsidRPr="00586F73">
        <w:rPr>
          <w:rFonts w:ascii="Arial" w:hAnsi="Arial" w:cs="Arial"/>
          <w:sz w:val="24"/>
          <w:szCs w:val="24"/>
        </w:rPr>
        <w:t>serve electric generation units</w:t>
      </w:r>
      <w:r w:rsidR="00A741EB" w:rsidRPr="00586F73">
        <w:rPr>
          <w:rFonts w:ascii="Arial" w:hAnsi="Arial" w:cs="Arial"/>
          <w:sz w:val="24"/>
          <w:szCs w:val="24"/>
        </w:rPr>
        <w:t xml:space="preserve"> in the ERCOT Region</w:t>
      </w:r>
      <w:r w:rsidR="0018207E" w:rsidRPr="00586F73">
        <w:rPr>
          <w:rFonts w:ascii="Arial" w:hAnsi="Arial" w:cs="Arial"/>
          <w:sz w:val="24"/>
          <w:szCs w:val="24"/>
        </w:rPr>
        <w:t xml:space="preserve">, </w:t>
      </w:r>
      <w:r w:rsidR="00A741EB" w:rsidRPr="00586F73">
        <w:rPr>
          <w:rFonts w:ascii="Arial" w:hAnsi="Arial" w:cs="Arial"/>
          <w:sz w:val="24"/>
          <w:szCs w:val="24"/>
        </w:rPr>
        <w:t>and ERCOT</w:t>
      </w:r>
      <w:r w:rsidRPr="00586F73">
        <w:rPr>
          <w:rFonts w:ascii="Arial" w:hAnsi="Arial" w:cs="Arial"/>
          <w:sz w:val="24"/>
          <w:szCs w:val="24"/>
        </w:rPr>
        <w:t xml:space="preserve"> should participate in the GEWG</w:t>
      </w:r>
      <w:r w:rsidR="00A741EB" w:rsidRPr="00586F73">
        <w:rPr>
          <w:rFonts w:ascii="Arial" w:hAnsi="Arial" w:cs="Arial"/>
          <w:sz w:val="24"/>
          <w:szCs w:val="24"/>
        </w:rPr>
        <w:t xml:space="preserve">.  </w:t>
      </w:r>
      <w:r w:rsidR="0018207E" w:rsidRPr="00586F73">
        <w:rPr>
          <w:rFonts w:ascii="Arial" w:hAnsi="Arial" w:cs="Arial"/>
          <w:sz w:val="24"/>
          <w:szCs w:val="24"/>
        </w:rPr>
        <w:t xml:space="preserve">Representatives </w:t>
      </w:r>
      <w:r w:rsidR="00AB380A">
        <w:rPr>
          <w:rFonts w:ascii="Arial" w:hAnsi="Arial" w:cs="Arial"/>
          <w:sz w:val="24"/>
          <w:szCs w:val="24"/>
        </w:rPr>
        <w:t xml:space="preserve">from </w:t>
      </w:r>
      <w:r w:rsidR="0018207E" w:rsidRPr="00586F73">
        <w:rPr>
          <w:rFonts w:ascii="Arial" w:hAnsi="Arial" w:cs="Arial"/>
          <w:sz w:val="24"/>
          <w:szCs w:val="24"/>
        </w:rPr>
        <w:t>the Public Utility Commission of Texas (PUC) and the Railroad Commission of Texas (RRC) are highly encouraged to participate</w:t>
      </w:r>
      <w:r w:rsidR="00AB380A">
        <w:rPr>
          <w:rFonts w:ascii="Arial" w:hAnsi="Arial" w:cs="Arial"/>
          <w:sz w:val="24"/>
          <w:szCs w:val="24"/>
        </w:rPr>
        <w:t xml:space="preserve"> in the GEWG</w:t>
      </w:r>
      <w:r w:rsidR="0018207E" w:rsidRPr="00586F73">
        <w:rPr>
          <w:rFonts w:ascii="Arial" w:hAnsi="Arial" w:cs="Arial"/>
          <w:sz w:val="24"/>
          <w:szCs w:val="24"/>
        </w:rPr>
        <w:t xml:space="preserve">.  </w:t>
      </w:r>
      <w:r w:rsidRPr="00586F73">
        <w:rPr>
          <w:rFonts w:ascii="Arial" w:hAnsi="Arial" w:cs="Arial"/>
          <w:sz w:val="24"/>
          <w:szCs w:val="24"/>
        </w:rPr>
        <w:t>Representative</w:t>
      </w:r>
      <w:r w:rsidR="00C737CF" w:rsidRPr="00586F73">
        <w:rPr>
          <w:rFonts w:ascii="Arial" w:hAnsi="Arial" w:cs="Arial"/>
          <w:sz w:val="24"/>
          <w:szCs w:val="24"/>
        </w:rPr>
        <w:t>s</w:t>
      </w:r>
      <w:r w:rsidRPr="00586F73">
        <w:rPr>
          <w:rFonts w:ascii="Arial" w:hAnsi="Arial" w:cs="Arial"/>
          <w:sz w:val="24"/>
          <w:szCs w:val="24"/>
        </w:rPr>
        <w:t xml:space="preserve"> from other ERCOT </w:t>
      </w:r>
      <w:r w:rsidR="00C737CF" w:rsidRPr="00586F73">
        <w:rPr>
          <w:rFonts w:ascii="Arial" w:hAnsi="Arial" w:cs="Arial"/>
          <w:sz w:val="24"/>
          <w:szCs w:val="24"/>
        </w:rPr>
        <w:t xml:space="preserve">and gas industry </w:t>
      </w:r>
      <w:r w:rsidRPr="00586F73">
        <w:rPr>
          <w:rFonts w:ascii="Arial" w:hAnsi="Arial" w:cs="Arial"/>
          <w:sz w:val="24"/>
          <w:szCs w:val="24"/>
        </w:rPr>
        <w:t>stakeholder</w:t>
      </w:r>
      <w:r w:rsidR="0018207E" w:rsidRPr="00586F73">
        <w:rPr>
          <w:rFonts w:ascii="Arial" w:hAnsi="Arial" w:cs="Arial"/>
          <w:sz w:val="24"/>
          <w:szCs w:val="24"/>
        </w:rPr>
        <w:t>s</w:t>
      </w:r>
      <w:r w:rsidRPr="00586F73">
        <w:rPr>
          <w:rFonts w:ascii="Arial" w:hAnsi="Arial" w:cs="Arial"/>
          <w:sz w:val="24"/>
          <w:szCs w:val="24"/>
        </w:rPr>
        <w:t xml:space="preserve"> and regulatory entities may also participate.  </w:t>
      </w:r>
    </w:p>
    <w:p w14:paraId="74B9B1E0" w14:textId="77777777" w:rsidR="009B69C4" w:rsidRPr="00586F73" w:rsidRDefault="009B69C4" w:rsidP="00586F73">
      <w:pPr>
        <w:jc w:val="both"/>
        <w:rPr>
          <w:rFonts w:ascii="Arial" w:hAnsi="Arial" w:cs="Arial"/>
          <w:b/>
          <w:sz w:val="24"/>
          <w:szCs w:val="24"/>
          <w:u w:val="single"/>
        </w:rPr>
      </w:pPr>
      <w:r w:rsidRPr="00586F73">
        <w:rPr>
          <w:rFonts w:ascii="Arial" w:hAnsi="Arial" w:cs="Arial"/>
          <w:b/>
          <w:sz w:val="24"/>
          <w:szCs w:val="24"/>
          <w:u w:val="single"/>
        </w:rPr>
        <w:t xml:space="preserve">Meetings </w:t>
      </w:r>
    </w:p>
    <w:p w14:paraId="7A4E93A7" w14:textId="6AD600F2" w:rsidR="00DB2525" w:rsidRPr="00586F73" w:rsidRDefault="0018207E" w:rsidP="0018207E">
      <w:pPr>
        <w:jc w:val="both"/>
        <w:rPr>
          <w:rFonts w:ascii="Arial" w:hAnsi="Arial" w:cs="Arial"/>
          <w:sz w:val="24"/>
          <w:szCs w:val="24"/>
        </w:rPr>
      </w:pPr>
      <w:r w:rsidRPr="00586F73">
        <w:rPr>
          <w:rFonts w:ascii="Arial" w:hAnsi="Arial" w:cs="Arial"/>
          <w:sz w:val="24"/>
          <w:szCs w:val="24"/>
        </w:rPr>
        <w:t>GEWG meetings are open to all interested parties.  Meetings are called by the Chair and held two times a year (one in the Spring and one in the Fall) or as necessary</w:t>
      </w:r>
      <w:r w:rsidR="00DB2525" w:rsidRPr="00586F73">
        <w:rPr>
          <w:rFonts w:ascii="Arial" w:hAnsi="Arial" w:cs="Arial"/>
          <w:sz w:val="24"/>
          <w:szCs w:val="24"/>
        </w:rPr>
        <w:t xml:space="preserve"> to achieve </w:t>
      </w:r>
      <w:r w:rsidR="00DB2525" w:rsidRPr="00586F73">
        <w:rPr>
          <w:rFonts w:ascii="Arial" w:hAnsi="Arial" w:cs="Arial"/>
          <w:sz w:val="24"/>
          <w:szCs w:val="24"/>
        </w:rPr>
        <w:lastRenderedPageBreak/>
        <w:t>any objectives</w:t>
      </w:r>
      <w:r w:rsidRPr="00586F73">
        <w:rPr>
          <w:rFonts w:ascii="Arial" w:hAnsi="Arial" w:cs="Arial"/>
          <w:sz w:val="24"/>
          <w:szCs w:val="24"/>
        </w:rPr>
        <w:t xml:space="preserve">. </w:t>
      </w:r>
      <w:r w:rsidR="001E0302" w:rsidRPr="00586F73">
        <w:rPr>
          <w:rFonts w:ascii="Arial" w:hAnsi="Arial" w:cs="Arial"/>
          <w:sz w:val="24"/>
          <w:szCs w:val="24"/>
        </w:rPr>
        <w:t xml:space="preserve"> Notice shall be sent to the GEWG email distribution list and posted to the ERCOT website</w:t>
      </w:r>
      <w:r w:rsidR="00BF42BC">
        <w:rPr>
          <w:rFonts w:ascii="Arial" w:hAnsi="Arial" w:cs="Arial"/>
          <w:sz w:val="24"/>
          <w:szCs w:val="24"/>
        </w:rPr>
        <w:t xml:space="preserve"> (</w:t>
      </w:r>
      <w:hyperlink r:id="rId6" w:history="1">
        <w:r w:rsidR="00BF42BC" w:rsidRPr="00B47985">
          <w:rPr>
            <w:rStyle w:val="Hyperlink"/>
            <w:rFonts w:ascii="Arial" w:hAnsi="Arial" w:cs="Arial"/>
            <w:sz w:val="24"/>
            <w:szCs w:val="24"/>
          </w:rPr>
          <w:t>www.ercot.com</w:t>
        </w:r>
      </w:hyperlink>
      <w:r w:rsidR="00BF42BC">
        <w:rPr>
          <w:rFonts w:ascii="Arial" w:hAnsi="Arial" w:cs="Arial"/>
          <w:sz w:val="24"/>
          <w:szCs w:val="24"/>
        </w:rPr>
        <w:t>)</w:t>
      </w:r>
      <w:r w:rsidR="001E0302" w:rsidRPr="00586F73">
        <w:rPr>
          <w:rFonts w:ascii="Arial" w:hAnsi="Arial" w:cs="Arial"/>
          <w:sz w:val="24"/>
          <w:szCs w:val="24"/>
        </w:rPr>
        <w:t xml:space="preserve"> at least one week prior to the meeting.  The Chair or the Vice-Chair shall preside at all meetings and are responsible for preparation of the agendas which will be posted to the ERCOT website in advance of the meeting.</w:t>
      </w:r>
      <w:r w:rsidR="00DB2525" w:rsidRPr="00586F73">
        <w:rPr>
          <w:rFonts w:ascii="Arial" w:hAnsi="Arial" w:cs="Arial"/>
          <w:sz w:val="24"/>
          <w:szCs w:val="24"/>
        </w:rPr>
        <w:t xml:space="preserve">  Information presented at GEWG meetings will be posted on the ERCOT website as authorized by the GEWG Chair and the author of the document.</w:t>
      </w:r>
    </w:p>
    <w:p w14:paraId="5036B9E3" w14:textId="393BD7D6" w:rsidR="00260029" w:rsidRPr="00586F73" w:rsidRDefault="00DB2525" w:rsidP="0018207E">
      <w:pPr>
        <w:jc w:val="both"/>
        <w:rPr>
          <w:rFonts w:ascii="Arial" w:hAnsi="Arial" w:cs="Arial"/>
          <w:sz w:val="24"/>
          <w:szCs w:val="24"/>
        </w:rPr>
      </w:pPr>
      <w:r w:rsidRPr="00586F73">
        <w:rPr>
          <w:rFonts w:ascii="Arial" w:hAnsi="Arial" w:cs="Arial"/>
          <w:sz w:val="24"/>
          <w:szCs w:val="24"/>
        </w:rPr>
        <w:t xml:space="preserve">The </w:t>
      </w:r>
      <w:r w:rsidR="00AB380A">
        <w:rPr>
          <w:rFonts w:ascii="Arial" w:hAnsi="Arial" w:cs="Arial"/>
          <w:sz w:val="24"/>
          <w:szCs w:val="24"/>
        </w:rPr>
        <w:t xml:space="preserve">GEWG </w:t>
      </w:r>
      <w:r w:rsidRPr="00586F73">
        <w:rPr>
          <w:rFonts w:ascii="Arial" w:hAnsi="Arial" w:cs="Arial"/>
          <w:sz w:val="24"/>
          <w:szCs w:val="24"/>
        </w:rPr>
        <w:t>Chair may create subgroups to discuss specific details of any topic that includes confidential information, such as Critical Energy Infrastructure Information (CEII).  All subgroup meetings are in closed session and limited to individuals necessary to achieve the purpose of the subgroup.  The GEWG Chair is responsible for determining who may attend a closed session of a subgroup meeting.</w:t>
      </w:r>
      <w:r w:rsidR="00BF42BC">
        <w:rPr>
          <w:rFonts w:ascii="Arial" w:hAnsi="Arial" w:cs="Arial"/>
          <w:sz w:val="24"/>
          <w:szCs w:val="24"/>
        </w:rPr>
        <w:t xml:space="preserve">  Subgroups are not subject to the meeting requirements of the GEWG as a whole.</w:t>
      </w:r>
      <w:r w:rsidR="00260029" w:rsidRPr="00586F73">
        <w:rPr>
          <w:rFonts w:ascii="Arial" w:hAnsi="Arial" w:cs="Arial"/>
          <w:sz w:val="24"/>
          <w:szCs w:val="24"/>
        </w:rPr>
        <w:t xml:space="preserve">  </w:t>
      </w:r>
    </w:p>
    <w:p w14:paraId="0B50CF34" w14:textId="4AABE7E0" w:rsidR="00DB2525" w:rsidRPr="00586F73" w:rsidRDefault="00BF42BC" w:rsidP="0018207E">
      <w:pPr>
        <w:jc w:val="both"/>
        <w:rPr>
          <w:rFonts w:ascii="Arial" w:hAnsi="Arial" w:cs="Arial"/>
          <w:sz w:val="24"/>
          <w:szCs w:val="24"/>
        </w:rPr>
      </w:pPr>
      <w:r>
        <w:rPr>
          <w:rFonts w:ascii="Arial" w:hAnsi="Arial" w:cs="Arial"/>
          <w:sz w:val="24"/>
          <w:szCs w:val="24"/>
        </w:rPr>
        <w:t>Upon inception of the GEWG, t</w:t>
      </w:r>
      <w:r w:rsidR="00260029" w:rsidRPr="00586F73">
        <w:rPr>
          <w:rFonts w:ascii="Arial" w:hAnsi="Arial" w:cs="Arial"/>
          <w:sz w:val="24"/>
          <w:szCs w:val="24"/>
        </w:rPr>
        <w:t xml:space="preserve">he GEWG Chair </w:t>
      </w:r>
      <w:r w:rsidRPr="00AF16D8">
        <w:rPr>
          <w:rFonts w:ascii="Arial" w:hAnsi="Arial" w:cs="Arial"/>
          <w:sz w:val="24"/>
          <w:szCs w:val="24"/>
        </w:rPr>
        <w:t>creates</w:t>
      </w:r>
      <w:r w:rsidR="00260029" w:rsidRPr="00586F73">
        <w:rPr>
          <w:rFonts w:ascii="Arial" w:hAnsi="Arial" w:cs="Arial"/>
          <w:sz w:val="24"/>
          <w:szCs w:val="24"/>
        </w:rPr>
        <w:t xml:space="preserve"> the Black Start Gas Coordination Subgroup which supersedes and replaces the Black</w:t>
      </w:r>
      <w:r>
        <w:rPr>
          <w:rFonts w:ascii="Arial" w:hAnsi="Arial" w:cs="Arial"/>
          <w:sz w:val="24"/>
          <w:szCs w:val="24"/>
        </w:rPr>
        <w:t xml:space="preserve"> S</w:t>
      </w:r>
      <w:r w:rsidR="00260029" w:rsidRPr="00586F73">
        <w:rPr>
          <w:rFonts w:ascii="Arial" w:hAnsi="Arial" w:cs="Arial"/>
          <w:sz w:val="24"/>
          <w:szCs w:val="24"/>
        </w:rPr>
        <w:t xml:space="preserve">tart Gas Coordination Working Group (BSGCWG). </w:t>
      </w:r>
    </w:p>
    <w:p w14:paraId="2B77D89C" w14:textId="3DC1D1BD" w:rsidR="0018207E" w:rsidRPr="00586F73" w:rsidRDefault="00260029" w:rsidP="0018207E">
      <w:pPr>
        <w:jc w:val="both"/>
        <w:rPr>
          <w:rFonts w:ascii="Arial" w:hAnsi="Arial" w:cs="Arial"/>
          <w:sz w:val="24"/>
          <w:szCs w:val="24"/>
        </w:rPr>
      </w:pPr>
      <w:r w:rsidRPr="00586F73">
        <w:rPr>
          <w:rFonts w:ascii="Arial" w:hAnsi="Arial" w:cs="Arial"/>
          <w:sz w:val="24"/>
          <w:szCs w:val="24"/>
        </w:rPr>
        <w:t xml:space="preserve">Any individual participating in a subgroup </w:t>
      </w:r>
      <w:r w:rsidR="00DB2525" w:rsidRPr="00586F73">
        <w:rPr>
          <w:rFonts w:ascii="Arial" w:hAnsi="Arial" w:cs="Arial"/>
          <w:sz w:val="24"/>
          <w:szCs w:val="24"/>
        </w:rPr>
        <w:t xml:space="preserve">must have a </w:t>
      </w:r>
      <w:r w:rsidR="0018207E" w:rsidRPr="00586F73">
        <w:rPr>
          <w:rFonts w:ascii="Arial" w:hAnsi="Arial" w:cs="Arial"/>
          <w:sz w:val="24"/>
          <w:szCs w:val="24"/>
        </w:rPr>
        <w:t xml:space="preserve">current ERCOT GEWG </w:t>
      </w:r>
      <w:r w:rsidRPr="00586F73">
        <w:rPr>
          <w:rFonts w:ascii="Arial" w:hAnsi="Arial" w:cs="Arial"/>
          <w:sz w:val="24"/>
          <w:szCs w:val="24"/>
        </w:rPr>
        <w:t xml:space="preserve">Subgroup </w:t>
      </w:r>
      <w:r w:rsidR="0018207E" w:rsidRPr="00586F73">
        <w:rPr>
          <w:rFonts w:ascii="Arial" w:hAnsi="Arial" w:cs="Arial"/>
          <w:sz w:val="24"/>
          <w:szCs w:val="24"/>
        </w:rPr>
        <w:t xml:space="preserve">Non-Disclosure Agreement (NDA) on file with ERCOT Legal.  A current version of the ERCOT GEWG </w:t>
      </w:r>
      <w:r w:rsidRPr="00586F73">
        <w:rPr>
          <w:rFonts w:ascii="Arial" w:hAnsi="Arial" w:cs="Arial"/>
          <w:sz w:val="24"/>
          <w:szCs w:val="24"/>
        </w:rPr>
        <w:t xml:space="preserve">Subgroup </w:t>
      </w:r>
      <w:r w:rsidR="0018207E" w:rsidRPr="00586F73">
        <w:rPr>
          <w:rFonts w:ascii="Arial" w:hAnsi="Arial" w:cs="Arial"/>
          <w:sz w:val="24"/>
          <w:szCs w:val="24"/>
        </w:rPr>
        <w:t xml:space="preserve">NDA is located under </w:t>
      </w:r>
      <w:r w:rsidR="00BF42BC">
        <w:rPr>
          <w:rFonts w:ascii="Arial" w:hAnsi="Arial" w:cs="Arial"/>
          <w:sz w:val="24"/>
          <w:szCs w:val="24"/>
        </w:rPr>
        <w:t>“</w:t>
      </w:r>
      <w:r w:rsidR="0018207E" w:rsidRPr="00586F73">
        <w:rPr>
          <w:rFonts w:ascii="Arial" w:hAnsi="Arial" w:cs="Arial"/>
          <w:sz w:val="24"/>
          <w:szCs w:val="24"/>
        </w:rPr>
        <w:t>Key Documents</w:t>
      </w:r>
      <w:r w:rsidR="00BF42BC">
        <w:rPr>
          <w:rFonts w:ascii="Arial" w:hAnsi="Arial" w:cs="Arial"/>
          <w:sz w:val="24"/>
          <w:szCs w:val="24"/>
        </w:rPr>
        <w:t>”</w:t>
      </w:r>
      <w:r w:rsidR="0018207E" w:rsidRPr="00586F73">
        <w:rPr>
          <w:rFonts w:ascii="Arial" w:hAnsi="Arial" w:cs="Arial"/>
          <w:sz w:val="24"/>
          <w:szCs w:val="24"/>
        </w:rPr>
        <w:t xml:space="preserve"> on the GEWG page of the ERCOT website. </w:t>
      </w:r>
      <w:r w:rsidRPr="00586F73">
        <w:rPr>
          <w:rFonts w:ascii="Arial" w:hAnsi="Arial" w:cs="Arial"/>
          <w:sz w:val="24"/>
          <w:szCs w:val="24"/>
        </w:rPr>
        <w:t xml:space="preserve"> </w:t>
      </w:r>
    </w:p>
    <w:p w14:paraId="1AA72693" w14:textId="5DFA31F9" w:rsidR="0018207E" w:rsidRPr="00586F73" w:rsidRDefault="0018207E" w:rsidP="0018207E">
      <w:pPr>
        <w:jc w:val="both"/>
        <w:rPr>
          <w:rFonts w:ascii="Arial" w:hAnsi="Arial" w:cs="Arial"/>
          <w:sz w:val="24"/>
          <w:szCs w:val="24"/>
        </w:rPr>
      </w:pPr>
      <w:r w:rsidRPr="00586F73">
        <w:rPr>
          <w:rFonts w:ascii="Arial" w:hAnsi="Arial" w:cs="Arial"/>
          <w:sz w:val="24"/>
          <w:szCs w:val="24"/>
        </w:rPr>
        <w:t xml:space="preserve">ERCOT Legal maintains a list of </w:t>
      </w:r>
      <w:r w:rsidR="00BF42BC">
        <w:rPr>
          <w:rFonts w:ascii="Arial" w:hAnsi="Arial" w:cs="Arial"/>
          <w:sz w:val="24"/>
          <w:szCs w:val="24"/>
        </w:rPr>
        <w:t>E</w:t>
      </w:r>
      <w:r w:rsidRPr="00586F73">
        <w:rPr>
          <w:rFonts w:ascii="Arial" w:hAnsi="Arial" w:cs="Arial"/>
          <w:sz w:val="24"/>
          <w:szCs w:val="24"/>
        </w:rPr>
        <w:t xml:space="preserve">ntities who have signed the ERCOT </w:t>
      </w:r>
      <w:r w:rsidR="00260029" w:rsidRPr="00586F73">
        <w:rPr>
          <w:rFonts w:ascii="Arial" w:hAnsi="Arial" w:cs="Arial"/>
          <w:sz w:val="24"/>
          <w:szCs w:val="24"/>
        </w:rPr>
        <w:t xml:space="preserve">GEWG Subgroup </w:t>
      </w:r>
      <w:r w:rsidRPr="00586F73">
        <w:rPr>
          <w:rFonts w:ascii="Arial" w:hAnsi="Arial" w:cs="Arial"/>
          <w:sz w:val="24"/>
          <w:szCs w:val="24"/>
        </w:rPr>
        <w:t xml:space="preserve">NDA and </w:t>
      </w:r>
      <w:r w:rsidR="00260029" w:rsidRPr="00586F73">
        <w:rPr>
          <w:rFonts w:ascii="Arial" w:hAnsi="Arial" w:cs="Arial"/>
          <w:sz w:val="24"/>
          <w:szCs w:val="24"/>
        </w:rPr>
        <w:t xml:space="preserve">will </w:t>
      </w:r>
      <w:r w:rsidRPr="00586F73">
        <w:rPr>
          <w:rFonts w:ascii="Arial" w:hAnsi="Arial" w:cs="Arial"/>
          <w:sz w:val="24"/>
          <w:szCs w:val="24"/>
        </w:rPr>
        <w:t xml:space="preserve">coordinate with the GEWG Chair and Vice Chair regarding closed session </w:t>
      </w:r>
      <w:r w:rsidR="00260029" w:rsidRPr="00586F73">
        <w:rPr>
          <w:rFonts w:ascii="Arial" w:hAnsi="Arial" w:cs="Arial"/>
          <w:sz w:val="24"/>
          <w:szCs w:val="24"/>
        </w:rPr>
        <w:t xml:space="preserve">subgroup </w:t>
      </w:r>
      <w:r w:rsidRPr="00586F73">
        <w:rPr>
          <w:rFonts w:ascii="Arial" w:hAnsi="Arial" w:cs="Arial"/>
          <w:sz w:val="24"/>
          <w:szCs w:val="24"/>
        </w:rPr>
        <w:t xml:space="preserve">meetings. </w:t>
      </w:r>
      <w:r w:rsidR="00260029" w:rsidRPr="00586F73">
        <w:rPr>
          <w:rFonts w:ascii="Arial" w:hAnsi="Arial" w:cs="Arial"/>
          <w:sz w:val="24"/>
          <w:szCs w:val="24"/>
        </w:rPr>
        <w:t xml:space="preserve"> </w:t>
      </w:r>
    </w:p>
    <w:p w14:paraId="31B63DF5" w14:textId="77777777" w:rsidR="009B69C4" w:rsidRPr="00586F73" w:rsidRDefault="009B69C4" w:rsidP="00586F73">
      <w:pPr>
        <w:jc w:val="both"/>
        <w:rPr>
          <w:rFonts w:ascii="Arial" w:hAnsi="Arial" w:cs="Arial"/>
          <w:b/>
          <w:sz w:val="24"/>
          <w:szCs w:val="24"/>
          <w:u w:val="single"/>
        </w:rPr>
      </w:pPr>
      <w:r w:rsidRPr="00586F73">
        <w:rPr>
          <w:rFonts w:ascii="Arial" w:hAnsi="Arial" w:cs="Arial"/>
          <w:b/>
          <w:sz w:val="24"/>
          <w:szCs w:val="24"/>
          <w:u w:val="single"/>
        </w:rPr>
        <w:t xml:space="preserve">Charter Review </w:t>
      </w:r>
    </w:p>
    <w:p w14:paraId="3773BA5E" w14:textId="798F87D9" w:rsidR="00A93F70" w:rsidRPr="00586F73" w:rsidRDefault="009B69C4" w:rsidP="00BE0535">
      <w:pPr>
        <w:jc w:val="both"/>
        <w:rPr>
          <w:rFonts w:ascii="Arial" w:hAnsi="Arial" w:cs="Arial"/>
          <w:sz w:val="24"/>
          <w:szCs w:val="24"/>
        </w:rPr>
      </w:pPr>
      <w:r w:rsidRPr="00586F73">
        <w:rPr>
          <w:rFonts w:ascii="Arial" w:hAnsi="Arial" w:cs="Arial"/>
          <w:sz w:val="24"/>
          <w:szCs w:val="24"/>
        </w:rPr>
        <w:t xml:space="preserve">This Charter will be reviewed every two years, or as needed, by a team of participants selected by the </w:t>
      </w:r>
      <w:r w:rsidR="00BF42BC">
        <w:rPr>
          <w:rFonts w:ascii="Arial" w:hAnsi="Arial" w:cs="Arial"/>
          <w:sz w:val="24"/>
          <w:szCs w:val="24"/>
        </w:rPr>
        <w:t xml:space="preserve">GEWG </w:t>
      </w:r>
      <w:r w:rsidRPr="00586F73">
        <w:rPr>
          <w:rFonts w:ascii="Arial" w:hAnsi="Arial" w:cs="Arial"/>
          <w:sz w:val="24"/>
          <w:szCs w:val="24"/>
        </w:rPr>
        <w:t xml:space="preserve">Chair. </w:t>
      </w:r>
      <w:r w:rsidR="00BF42BC">
        <w:rPr>
          <w:rFonts w:ascii="Arial" w:hAnsi="Arial" w:cs="Arial"/>
          <w:sz w:val="24"/>
          <w:szCs w:val="24"/>
        </w:rPr>
        <w:t xml:space="preserve"> </w:t>
      </w:r>
      <w:r w:rsidRPr="00586F73">
        <w:rPr>
          <w:rFonts w:ascii="Arial" w:hAnsi="Arial" w:cs="Arial"/>
          <w:sz w:val="24"/>
          <w:szCs w:val="24"/>
        </w:rPr>
        <w:t>Changes to the Charter become effective upon consensus of the participants</w:t>
      </w:r>
      <w:r w:rsidR="00AF16D8" w:rsidRPr="00AF16D8">
        <w:rPr>
          <w:rFonts w:ascii="Arial" w:hAnsi="Arial" w:cs="Arial"/>
          <w:sz w:val="24"/>
          <w:szCs w:val="24"/>
        </w:rPr>
        <w:t xml:space="preserve"> at the GE</w:t>
      </w:r>
      <w:r w:rsidR="0018207E" w:rsidRPr="00586F73">
        <w:rPr>
          <w:rFonts w:ascii="Arial" w:hAnsi="Arial" w:cs="Arial"/>
          <w:sz w:val="24"/>
          <w:szCs w:val="24"/>
        </w:rPr>
        <w:t>W</w:t>
      </w:r>
      <w:r w:rsidR="00AF16D8">
        <w:rPr>
          <w:rFonts w:ascii="Arial" w:hAnsi="Arial" w:cs="Arial"/>
          <w:sz w:val="24"/>
          <w:szCs w:val="24"/>
        </w:rPr>
        <w:t>G</w:t>
      </w:r>
      <w:r w:rsidRPr="00586F73">
        <w:rPr>
          <w:rFonts w:ascii="Arial" w:hAnsi="Arial" w:cs="Arial"/>
          <w:sz w:val="24"/>
          <w:szCs w:val="24"/>
        </w:rPr>
        <w:t xml:space="preserve"> and upon ERCOT Legal review.</w:t>
      </w:r>
    </w:p>
    <w:sectPr w:rsidR="00A93F70" w:rsidRPr="00586F73">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378AC11" w14:textId="77777777" w:rsidR="00BB0B1B" w:rsidRDefault="00BB0B1B" w:rsidP="00BB0B1B">
      <w:pPr>
        <w:spacing w:after="0" w:line="240" w:lineRule="auto"/>
      </w:pPr>
      <w:r>
        <w:separator/>
      </w:r>
    </w:p>
  </w:endnote>
  <w:endnote w:type="continuationSeparator" w:id="0">
    <w:p w14:paraId="3EB78348" w14:textId="77777777" w:rsidR="00BB0B1B" w:rsidRDefault="00BB0B1B" w:rsidP="00BB0B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50418C" w14:textId="5EA012DA" w:rsidR="00AB380A" w:rsidRPr="00586F73" w:rsidRDefault="00AB380A" w:rsidP="00586F73">
    <w:pPr>
      <w:pStyle w:val="Footer"/>
      <w:rPr>
        <w:rFonts w:ascii="Arial" w:hAnsi="Arial" w:cs="Arial"/>
        <w:sz w:val="20"/>
        <w:szCs w:val="20"/>
      </w:rPr>
    </w:pPr>
    <w:r w:rsidRPr="00586F73">
      <w:rPr>
        <w:rFonts w:ascii="Arial" w:hAnsi="Arial" w:cs="Arial"/>
        <w:sz w:val="20"/>
        <w:szCs w:val="20"/>
      </w:rPr>
      <w:t xml:space="preserve">ERCOT Public </w:t>
    </w:r>
    <w:r w:rsidRPr="00586F73">
      <w:rPr>
        <w:rFonts w:ascii="Arial" w:hAnsi="Arial" w:cs="Arial"/>
        <w:sz w:val="20"/>
        <w:szCs w:val="20"/>
      </w:rPr>
      <w:tab/>
    </w:r>
    <w:sdt>
      <w:sdtPr>
        <w:rPr>
          <w:rFonts w:ascii="Arial" w:hAnsi="Arial" w:cs="Arial"/>
          <w:sz w:val="20"/>
          <w:szCs w:val="20"/>
        </w:rPr>
        <w:id w:val="1482048160"/>
        <w:docPartObj>
          <w:docPartGallery w:val="Page Numbers (Bottom of Page)"/>
          <w:docPartUnique/>
        </w:docPartObj>
      </w:sdtPr>
      <w:sdtEndPr>
        <w:rPr>
          <w:noProof/>
        </w:rPr>
      </w:sdtEndPr>
      <w:sdtContent>
        <w:r w:rsidRPr="00586F73">
          <w:rPr>
            <w:rFonts w:ascii="Arial" w:hAnsi="Arial" w:cs="Arial"/>
            <w:sz w:val="20"/>
            <w:szCs w:val="20"/>
          </w:rPr>
          <w:fldChar w:fldCharType="begin"/>
        </w:r>
        <w:r w:rsidRPr="00586F73">
          <w:rPr>
            <w:rFonts w:ascii="Arial" w:hAnsi="Arial" w:cs="Arial"/>
            <w:sz w:val="20"/>
            <w:szCs w:val="20"/>
          </w:rPr>
          <w:instrText xml:space="preserve"> PAGE   \* MERGEFORMAT </w:instrText>
        </w:r>
        <w:r w:rsidRPr="00586F73">
          <w:rPr>
            <w:rFonts w:ascii="Arial" w:hAnsi="Arial" w:cs="Arial"/>
            <w:sz w:val="20"/>
            <w:szCs w:val="20"/>
          </w:rPr>
          <w:fldChar w:fldCharType="separate"/>
        </w:r>
        <w:r w:rsidR="00586F73">
          <w:rPr>
            <w:rFonts w:ascii="Arial" w:hAnsi="Arial" w:cs="Arial"/>
            <w:noProof/>
            <w:sz w:val="20"/>
            <w:szCs w:val="20"/>
          </w:rPr>
          <w:t>1</w:t>
        </w:r>
        <w:r w:rsidRPr="00586F73">
          <w:rPr>
            <w:rFonts w:ascii="Arial" w:hAnsi="Arial" w:cs="Arial"/>
            <w:noProof/>
            <w:sz w:val="20"/>
            <w:szCs w:val="20"/>
          </w:rPr>
          <w:fldChar w:fldCharType="end"/>
        </w:r>
      </w:sdtContent>
    </w:sdt>
  </w:p>
  <w:p w14:paraId="7C9763C1" w14:textId="77777777" w:rsidR="00AB380A" w:rsidRDefault="00AB38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B1EDC3" w14:textId="77777777" w:rsidR="00BB0B1B" w:rsidRDefault="00BB0B1B" w:rsidP="00BB0B1B">
      <w:pPr>
        <w:spacing w:after="0" w:line="240" w:lineRule="auto"/>
      </w:pPr>
      <w:r>
        <w:separator/>
      </w:r>
    </w:p>
  </w:footnote>
  <w:footnote w:type="continuationSeparator" w:id="0">
    <w:p w14:paraId="0BC241FC" w14:textId="77777777" w:rsidR="00BB0B1B" w:rsidRDefault="00BB0B1B" w:rsidP="00BB0B1B">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69C4"/>
    <w:rsid w:val="00025D4E"/>
    <w:rsid w:val="0005617F"/>
    <w:rsid w:val="00104B79"/>
    <w:rsid w:val="0018207E"/>
    <w:rsid w:val="001D01B6"/>
    <w:rsid w:val="001E0302"/>
    <w:rsid w:val="0022509E"/>
    <w:rsid w:val="00260029"/>
    <w:rsid w:val="00261B9E"/>
    <w:rsid w:val="0036752A"/>
    <w:rsid w:val="003A480B"/>
    <w:rsid w:val="00562DE4"/>
    <w:rsid w:val="00583B7D"/>
    <w:rsid w:val="00586F73"/>
    <w:rsid w:val="00617CD0"/>
    <w:rsid w:val="00663CB4"/>
    <w:rsid w:val="00671543"/>
    <w:rsid w:val="00672BFC"/>
    <w:rsid w:val="007D255C"/>
    <w:rsid w:val="00890926"/>
    <w:rsid w:val="009B69C4"/>
    <w:rsid w:val="00A741EB"/>
    <w:rsid w:val="00A93F70"/>
    <w:rsid w:val="00AB380A"/>
    <w:rsid w:val="00AF16D8"/>
    <w:rsid w:val="00BB0B1B"/>
    <w:rsid w:val="00BB1EDD"/>
    <w:rsid w:val="00BE0535"/>
    <w:rsid w:val="00BF42BC"/>
    <w:rsid w:val="00C737CF"/>
    <w:rsid w:val="00CF7A61"/>
    <w:rsid w:val="00D94727"/>
    <w:rsid w:val="00DB2525"/>
    <w:rsid w:val="00E96601"/>
    <w:rsid w:val="00FB53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5DBF20"/>
  <w15:chartTrackingRefBased/>
  <w15:docId w15:val="{D0839E3D-14F7-4794-B51E-5D968153C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B69C4"/>
    <w:pPr>
      <w:autoSpaceDE w:val="0"/>
      <w:autoSpaceDN w:val="0"/>
      <w:adjustRightInd w:val="0"/>
      <w:spacing w:after="0" w:line="240" w:lineRule="auto"/>
    </w:pPr>
    <w:rPr>
      <w:rFonts w:ascii="Times New Roman" w:hAnsi="Times New Roman" w:cs="Times New Roman"/>
      <w:color w:val="000000"/>
      <w:sz w:val="24"/>
      <w:szCs w:val="24"/>
    </w:rPr>
  </w:style>
  <w:style w:type="character" w:styleId="CommentReference">
    <w:name w:val="annotation reference"/>
    <w:basedOn w:val="DefaultParagraphFont"/>
    <w:uiPriority w:val="99"/>
    <w:semiHidden/>
    <w:unhideWhenUsed/>
    <w:rsid w:val="003A480B"/>
    <w:rPr>
      <w:sz w:val="16"/>
      <w:szCs w:val="16"/>
    </w:rPr>
  </w:style>
  <w:style w:type="paragraph" w:styleId="CommentText">
    <w:name w:val="annotation text"/>
    <w:basedOn w:val="Normal"/>
    <w:link w:val="CommentTextChar"/>
    <w:uiPriority w:val="99"/>
    <w:semiHidden/>
    <w:unhideWhenUsed/>
    <w:rsid w:val="003A480B"/>
    <w:pPr>
      <w:spacing w:line="240" w:lineRule="auto"/>
    </w:pPr>
    <w:rPr>
      <w:sz w:val="20"/>
      <w:szCs w:val="20"/>
    </w:rPr>
  </w:style>
  <w:style w:type="character" w:customStyle="1" w:styleId="CommentTextChar">
    <w:name w:val="Comment Text Char"/>
    <w:basedOn w:val="DefaultParagraphFont"/>
    <w:link w:val="CommentText"/>
    <w:uiPriority w:val="99"/>
    <w:semiHidden/>
    <w:rsid w:val="003A480B"/>
    <w:rPr>
      <w:sz w:val="20"/>
      <w:szCs w:val="20"/>
    </w:rPr>
  </w:style>
  <w:style w:type="paragraph" w:styleId="CommentSubject">
    <w:name w:val="annotation subject"/>
    <w:basedOn w:val="CommentText"/>
    <w:next w:val="CommentText"/>
    <w:link w:val="CommentSubjectChar"/>
    <w:uiPriority w:val="99"/>
    <w:semiHidden/>
    <w:unhideWhenUsed/>
    <w:rsid w:val="003A480B"/>
    <w:rPr>
      <w:b/>
      <w:bCs/>
    </w:rPr>
  </w:style>
  <w:style w:type="character" w:customStyle="1" w:styleId="CommentSubjectChar">
    <w:name w:val="Comment Subject Char"/>
    <w:basedOn w:val="CommentTextChar"/>
    <w:link w:val="CommentSubject"/>
    <w:uiPriority w:val="99"/>
    <w:semiHidden/>
    <w:rsid w:val="003A480B"/>
    <w:rPr>
      <w:b/>
      <w:bCs/>
      <w:sz w:val="20"/>
      <w:szCs w:val="20"/>
    </w:rPr>
  </w:style>
  <w:style w:type="paragraph" w:styleId="BalloonText">
    <w:name w:val="Balloon Text"/>
    <w:basedOn w:val="Normal"/>
    <w:link w:val="BalloonTextChar"/>
    <w:uiPriority w:val="99"/>
    <w:semiHidden/>
    <w:unhideWhenUsed/>
    <w:rsid w:val="003A48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480B"/>
    <w:rPr>
      <w:rFonts w:ascii="Segoe UI" w:hAnsi="Segoe UI" w:cs="Segoe UI"/>
      <w:sz w:val="18"/>
      <w:szCs w:val="18"/>
    </w:rPr>
  </w:style>
  <w:style w:type="paragraph" w:styleId="FootnoteText">
    <w:name w:val="footnote text"/>
    <w:basedOn w:val="Normal"/>
    <w:link w:val="FootnoteTextChar"/>
    <w:uiPriority w:val="99"/>
    <w:semiHidden/>
    <w:unhideWhenUsed/>
    <w:rsid w:val="00BB0B1B"/>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B0B1B"/>
    <w:rPr>
      <w:sz w:val="20"/>
      <w:szCs w:val="20"/>
    </w:rPr>
  </w:style>
  <w:style w:type="character" w:styleId="FootnoteReference">
    <w:name w:val="footnote reference"/>
    <w:basedOn w:val="DefaultParagraphFont"/>
    <w:uiPriority w:val="99"/>
    <w:semiHidden/>
    <w:unhideWhenUsed/>
    <w:rsid w:val="00BB0B1B"/>
    <w:rPr>
      <w:vertAlign w:val="superscript"/>
    </w:rPr>
  </w:style>
  <w:style w:type="paragraph" w:styleId="Header">
    <w:name w:val="header"/>
    <w:basedOn w:val="Normal"/>
    <w:link w:val="HeaderChar"/>
    <w:uiPriority w:val="99"/>
    <w:unhideWhenUsed/>
    <w:rsid w:val="00AB380A"/>
    <w:pPr>
      <w:tabs>
        <w:tab w:val="center" w:pos="4680"/>
        <w:tab w:val="right" w:pos="9360"/>
      </w:tabs>
      <w:spacing w:after="0" w:line="240" w:lineRule="auto"/>
    </w:pPr>
  </w:style>
  <w:style w:type="character" w:customStyle="1" w:styleId="HeaderChar">
    <w:name w:val="Header Char"/>
    <w:basedOn w:val="DefaultParagraphFont"/>
    <w:link w:val="Header"/>
    <w:uiPriority w:val="99"/>
    <w:rsid w:val="00AB380A"/>
  </w:style>
  <w:style w:type="paragraph" w:styleId="Footer">
    <w:name w:val="footer"/>
    <w:basedOn w:val="Normal"/>
    <w:link w:val="FooterChar"/>
    <w:uiPriority w:val="99"/>
    <w:unhideWhenUsed/>
    <w:rsid w:val="00AB380A"/>
    <w:pPr>
      <w:tabs>
        <w:tab w:val="center" w:pos="4680"/>
        <w:tab w:val="right" w:pos="9360"/>
      </w:tabs>
      <w:spacing w:after="0" w:line="240" w:lineRule="auto"/>
    </w:pPr>
  </w:style>
  <w:style w:type="character" w:customStyle="1" w:styleId="FooterChar">
    <w:name w:val="Footer Char"/>
    <w:basedOn w:val="DefaultParagraphFont"/>
    <w:link w:val="Footer"/>
    <w:uiPriority w:val="99"/>
    <w:rsid w:val="00AB380A"/>
  </w:style>
  <w:style w:type="character" w:styleId="Hyperlink">
    <w:name w:val="Hyperlink"/>
    <w:basedOn w:val="DefaultParagraphFont"/>
    <w:uiPriority w:val="99"/>
    <w:unhideWhenUsed/>
    <w:rsid w:val="00BF42BC"/>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ercot.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712</Words>
  <Characters>4064</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4767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Woodfin, Dan</dc:creator>
  <cp:keywords/>
  <dc:description/>
  <cp:lastModifiedBy>Thompson, Chad</cp:lastModifiedBy>
  <cp:revision>2</cp:revision>
  <dcterms:created xsi:type="dcterms:W3CDTF">2019-01-30T19:11:00Z</dcterms:created>
  <dcterms:modified xsi:type="dcterms:W3CDTF">2019-01-30T19:11:00Z</dcterms:modified>
</cp:coreProperties>
</file>