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4B" w:rsidRPr="00B86D4B" w:rsidRDefault="00B86D4B">
      <w:pPr>
        <w:rPr>
          <w:b/>
          <w:color w:val="002060"/>
        </w:rPr>
      </w:pPr>
      <w:bookmarkStart w:id="0" w:name="_GoBack"/>
      <w:bookmarkEnd w:id="0"/>
      <w:r w:rsidRPr="00B86D4B">
        <w:rPr>
          <w:b/>
          <w:color w:val="002060"/>
        </w:rPr>
        <w:t>January 23, 2019</w:t>
      </w:r>
    </w:p>
    <w:p w:rsidR="00B02C69" w:rsidRDefault="00B86D4B" w:rsidP="00B86D4B">
      <w:r w:rsidRPr="00B86D4B">
        <w:rPr>
          <w:b/>
          <w:color w:val="002060"/>
        </w:rPr>
        <w:t>AEP Comments relating to NPRR902, ERCOT Critical Energy Infrastructure Information</w:t>
      </w:r>
    </w:p>
    <w:p w:rsidR="00B02C69" w:rsidRPr="00B86D4B" w:rsidRDefault="00B86D4B" w:rsidP="00B86D4B">
      <w:pPr>
        <w:pStyle w:val="ListParagraph"/>
        <w:numPr>
          <w:ilvl w:val="0"/>
          <w:numId w:val="1"/>
        </w:numPr>
        <w:rPr>
          <w:color w:val="1F497D"/>
        </w:rPr>
      </w:pPr>
      <w:r>
        <w:rPr>
          <w:color w:val="1F497D"/>
        </w:rPr>
        <w:t>“Creating Party”</w:t>
      </w:r>
      <w:r w:rsidR="00962AF1">
        <w:rPr>
          <w:color w:val="1F497D"/>
        </w:rPr>
        <w:t xml:space="preserve"> as defined creates c</w:t>
      </w:r>
      <w:r w:rsidR="00B02C69" w:rsidRPr="00B86D4B">
        <w:rPr>
          <w:color w:val="1F497D"/>
        </w:rPr>
        <w:t>oncern about whether these rules would apply to AEP’s internal handling of data (i.e., data that is created by AEP but has not been submitted to ERCOT or formally designated as ECEII for any purpose). </w:t>
      </w:r>
    </w:p>
    <w:p w:rsidR="00B02C69" w:rsidRDefault="00B02C69" w:rsidP="00B02C69">
      <w:pPr>
        <w:pStyle w:val="ListParagraph"/>
        <w:numPr>
          <w:ilvl w:val="0"/>
          <w:numId w:val="1"/>
        </w:numPr>
        <w:rPr>
          <w:color w:val="1F497D"/>
        </w:rPr>
      </w:pPr>
      <w:r>
        <w:rPr>
          <w:color w:val="1F497D"/>
        </w:rPr>
        <w:t xml:space="preserve">Are these Protocols broad enough, or strict enough, to prevent ERCOT from sharing what could be considered </w:t>
      </w:r>
      <w:r w:rsidR="00962AF1">
        <w:rPr>
          <w:color w:val="1F497D"/>
        </w:rPr>
        <w:t>as</w:t>
      </w:r>
      <w:r>
        <w:rPr>
          <w:color w:val="1F497D"/>
        </w:rPr>
        <w:t xml:space="preserve"> classified or confidential information?</w:t>
      </w:r>
    </w:p>
    <w:p w:rsidR="00B02C69" w:rsidRDefault="00B02C69" w:rsidP="00B02C69">
      <w:pPr>
        <w:pStyle w:val="ListParagraph"/>
        <w:numPr>
          <w:ilvl w:val="0"/>
          <w:numId w:val="1"/>
        </w:numPr>
        <w:rPr>
          <w:color w:val="1F497D"/>
        </w:rPr>
      </w:pPr>
      <w:r>
        <w:rPr>
          <w:color w:val="1F497D"/>
        </w:rPr>
        <w:t xml:space="preserve">How will ERCOT address the concern where what AEP may file with FERC as CEII may not be considered as </w:t>
      </w:r>
      <w:r w:rsidRPr="00B86D4B">
        <w:rPr>
          <w:color w:val="002060"/>
        </w:rPr>
        <w:t>E</w:t>
      </w:r>
      <w:r>
        <w:rPr>
          <w:color w:val="1F497D"/>
        </w:rPr>
        <w:t>CEII by ERCOT?</w:t>
      </w:r>
    </w:p>
    <w:p w:rsidR="00B02C69" w:rsidRDefault="00B02C69" w:rsidP="00B02C69">
      <w:pPr>
        <w:pStyle w:val="ListParagraph"/>
        <w:numPr>
          <w:ilvl w:val="0"/>
          <w:numId w:val="1"/>
        </w:numPr>
        <w:rPr>
          <w:color w:val="1F497D"/>
        </w:rPr>
      </w:pPr>
      <w:r>
        <w:rPr>
          <w:color w:val="1F497D"/>
        </w:rPr>
        <w:t xml:space="preserve">Is everything identified by FERC as CEII also considered </w:t>
      </w:r>
      <w:r w:rsidRPr="00B86D4B">
        <w:rPr>
          <w:color w:val="002060"/>
        </w:rPr>
        <w:t>E</w:t>
      </w:r>
      <w:r>
        <w:rPr>
          <w:color w:val="1F497D"/>
        </w:rPr>
        <w:t>CEII by ERCOT?</w:t>
      </w:r>
    </w:p>
    <w:p w:rsidR="00B02C69" w:rsidRDefault="00B02C69" w:rsidP="00B02C69">
      <w:pPr>
        <w:ind w:left="360"/>
        <w:rPr>
          <w:color w:val="1F497D"/>
        </w:rPr>
      </w:pPr>
    </w:p>
    <w:p w:rsidR="00B02C69" w:rsidRDefault="00B02C69" w:rsidP="00B02C69">
      <w:pPr>
        <w:pStyle w:val="ListParagraph"/>
        <w:numPr>
          <w:ilvl w:val="0"/>
          <w:numId w:val="1"/>
        </w:numPr>
        <w:rPr>
          <w:color w:val="1F497D"/>
        </w:rPr>
      </w:pPr>
      <w:r>
        <w:rPr>
          <w:color w:val="1F497D"/>
        </w:rPr>
        <w:t>1.3.2.1 Items Considered ERCOT CEII</w:t>
      </w:r>
    </w:p>
    <w:p w:rsidR="00B02C69" w:rsidRDefault="00B02C69" w:rsidP="00B02C69">
      <w:pPr>
        <w:pStyle w:val="ListParagraph"/>
        <w:numPr>
          <w:ilvl w:val="1"/>
          <w:numId w:val="1"/>
        </w:numPr>
        <w:rPr>
          <w:color w:val="1F497D"/>
        </w:rPr>
      </w:pPr>
      <w:r>
        <w:rPr>
          <w:color w:val="1F497D"/>
        </w:rPr>
        <w:t>(a). …GPS coordinates, which are easily discoverable using Google Earth or other vehicles like Open Street Map</w:t>
      </w:r>
    </w:p>
    <w:p w:rsidR="00B02C69" w:rsidRDefault="00B02C69" w:rsidP="00B02C69">
      <w:pPr>
        <w:rPr>
          <w:color w:val="1F497D"/>
        </w:rPr>
      </w:pPr>
    </w:p>
    <w:p w:rsidR="00B02C69" w:rsidRDefault="00B02C69" w:rsidP="00B02C69">
      <w:pPr>
        <w:ind w:left="1440"/>
        <w:rPr>
          <w:color w:val="1F497D"/>
        </w:rPr>
      </w:pPr>
      <w:r>
        <w:rPr>
          <w:color w:val="1F497D"/>
        </w:rPr>
        <w:t xml:space="preserve">(j) Any info that is clearly designated as ECEII in writing by </w:t>
      </w:r>
      <w:proofErr w:type="gramStart"/>
      <w:r>
        <w:rPr>
          <w:color w:val="1F497D"/>
        </w:rPr>
        <w:t>Disclosing</w:t>
      </w:r>
      <w:proofErr w:type="gramEnd"/>
      <w:r>
        <w:rPr>
          <w:color w:val="1F497D"/>
        </w:rPr>
        <w:t xml:space="preserve"> Party…, subject to the procedures set forth in paragraph (3) of Section 1.3.2.3, Submission of ERCOT CEII to ERCOT          </w:t>
      </w:r>
    </w:p>
    <w:p w:rsidR="00B02C69" w:rsidRDefault="00B02C69" w:rsidP="00B02C69">
      <w:pPr>
        <w:ind w:left="1440"/>
        <w:rPr>
          <w:color w:val="1F497D"/>
        </w:rPr>
      </w:pPr>
      <w:r>
        <w:rPr>
          <w:color w:val="1F497D"/>
        </w:rPr>
        <w:t>Concern that the reference is not entirely clear.</w:t>
      </w:r>
    </w:p>
    <w:p w:rsidR="00B02C69" w:rsidRDefault="00B02C69" w:rsidP="00B02C69">
      <w:pPr>
        <w:ind w:left="1440"/>
        <w:rPr>
          <w:color w:val="1F497D"/>
        </w:rPr>
      </w:pPr>
    </w:p>
    <w:p w:rsidR="00B02C69" w:rsidRDefault="00B02C69" w:rsidP="00B02C69">
      <w:pPr>
        <w:pStyle w:val="ListParagraph"/>
        <w:numPr>
          <w:ilvl w:val="0"/>
          <w:numId w:val="2"/>
        </w:numPr>
        <w:rPr>
          <w:color w:val="1F497D"/>
        </w:rPr>
      </w:pPr>
      <w:r>
        <w:rPr>
          <w:color w:val="1F497D"/>
        </w:rPr>
        <w:t>1.3.2.2 (</w:t>
      </w:r>
      <w:proofErr w:type="gramStart"/>
      <w:r>
        <w:rPr>
          <w:color w:val="1F497D"/>
        </w:rPr>
        <w:t>b</w:t>
      </w:r>
      <w:proofErr w:type="gramEnd"/>
      <w:r>
        <w:rPr>
          <w:color w:val="1F497D"/>
        </w:rPr>
        <w:t xml:space="preserve">) (iii) Relating to review of individual(s) being considered for granting access to ECEII being on the terrorist watch list. </w:t>
      </w:r>
    </w:p>
    <w:p w:rsidR="00B02C69" w:rsidRDefault="00B02C69" w:rsidP="00B02C69">
      <w:pPr>
        <w:pStyle w:val="ListParagraph"/>
        <w:numPr>
          <w:ilvl w:val="1"/>
          <w:numId w:val="2"/>
        </w:numPr>
        <w:rPr>
          <w:color w:val="1F497D"/>
        </w:rPr>
      </w:pPr>
      <w:r>
        <w:rPr>
          <w:color w:val="1F497D"/>
        </w:rPr>
        <w:t>Is it the receiving party or creating party responsible for this action?</w:t>
      </w:r>
    </w:p>
    <w:p w:rsidR="00B02C69" w:rsidRDefault="00B02C69" w:rsidP="00B02C69">
      <w:pPr>
        <w:pStyle w:val="ListParagraph"/>
        <w:numPr>
          <w:ilvl w:val="1"/>
          <w:numId w:val="2"/>
        </w:numPr>
        <w:rPr>
          <w:color w:val="1F497D"/>
        </w:rPr>
      </w:pPr>
      <w:r>
        <w:rPr>
          <w:color w:val="1F497D"/>
        </w:rPr>
        <w:t xml:space="preserve">Should this </w:t>
      </w:r>
      <w:r w:rsidR="00962AF1">
        <w:rPr>
          <w:color w:val="1F497D"/>
        </w:rPr>
        <w:t>be an action</w:t>
      </w:r>
      <w:r>
        <w:rPr>
          <w:color w:val="1F497D"/>
        </w:rPr>
        <w:t xml:space="preserve"> addressed in the NDA between parties?</w:t>
      </w:r>
    </w:p>
    <w:p w:rsidR="00B02C69" w:rsidRDefault="00B02C69" w:rsidP="00B02C69">
      <w:pPr>
        <w:rPr>
          <w:color w:val="1F497D"/>
        </w:rPr>
      </w:pPr>
    </w:p>
    <w:p w:rsidR="00B02C69" w:rsidRDefault="00B02C69" w:rsidP="00B02C69">
      <w:pPr>
        <w:pStyle w:val="List"/>
        <w:numPr>
          <w:ilvl w:val="0"/>
          <w:numId w:val="2"/>
        </w:numPr>
      </w:pPr>
      <w:r>
        <w:rPr>
          <w:color w:val="1F497D"/>
        </w:rPr>
        <w:t xml:space="preserve">1.3.2.2  </w:t>
      </w:r>
      <w:r>
        <w:t xml:space="preserve">(2)      If an individual’s status as a director, officer, or employee of the Receiving Party or Creating Party is </w:t>
      </w:r>
      <w:r>
        <w:rPr>
          <w:color w:val="FF0000"/>
        </w:rPr>
        <w:t>terminated</w:t>
      </w:r>
      <w:r>
        <w:t xml:space="preserve">, then the Receiving Party or Creating Party will, </w:t>
      </w:r>
      <w:r>
        <w:rPr>
          <w:highlight w:val="yellow"/>
        </w:rPr>
        <w:t>as soon as practicable but not later than within 24 hours</w:t>
      </w:r>
      <w:r>
        <w:t xml:space="preserve">, revoke the individual’s ability to access ECEII.  If the Receiving Party or Creating Party otherwise reasonably believes that an individual within its control who has received ECEII or access to ECEII </w:t>
      </w:r>
      <w:r>
        <w:rPr>
          <w:color w:val="FF0000"/>
        </w:rPr>
        <w:t xml:space="preserve">should no longer be entrusted with ECEII </w:t>
      </w:r>
      <w:r>
        <w:t>or access thereto because the individual no longer meets the conditions described in paragraph (1) above, then the Receiving Party or Creating Party will</w:t>
      </w:r>
      <w:r>
        <w:rPr>
          <w:highlight w:val="yellow"/>
        </w:rPr>
        <w:t>, as soon as practicable but not later than within seven days,</w:t>
      </w:r>
      <w:r>
        <w:t xml:space="preserve"> revoke the individual’s ability to access ECEII.  If there is a reasonable concern that the individual may pose a serious threat to ERCOT or ERCOT System Infrastructure, then the Receiving Party or Creating Party shall promptly notify ERCOT and any appropriate regulatory or law enforcement authorities of such concern.</w:t>
      </w:r>
    </w:p>
    <w:p w:rsidR="00B02C69" w:rsidRDefault="00B02C69" w:rsidP="00B02C69">
      <w:pPr>
        <w:pStyle w:val="List"/>
        <w:numPr>
          <w:ilvl w:val="1"/>
          <w:numId w:val="2"/>
        </w:numPr>
        <w:rPr>
          <w:color w:val="002060"/>
        </w:rPr>
      </w:pPr>
      <w:r>
        <w:rPr>
          <w:color w:val="002060"/>
        </w:rPr>
        <w:t xml:space="preserve">If trust is an issue then “within seven days” seems to be too long to take action. Will suggest “as soon as </w:t>
      </w:r>
      <w:proofErr w:type="gramStart"/>
      <w:r>
        <w:rPr>
          <w:color w:val="002060"/>
        </w:rPr>
        <w:t>practicable but</w:t>
      </w:r>
      <w:proofErr w:type="gramEnd"/>
      <w:r>
        <w:rPr>
          <w:color w:val="002060"/>
        </w:rPr>
        <w:t xml:space="preserve"> no</w:t>
      </w:r>
      <w:r w:rsidR="00B86D4B">
        <w:rPr>
          <w:color w:val="002060"/>
        </w:rPr>
        <w:t>t later</w:t>
      </w:r>
      <w:r>
        <w:rPr>
          <w:color w:val="002060"/>
        </w:rPr>
        <w:t xml:space="preserve"> than th</w:t>
      </w:r>
      <w:r w:rsidR="00B86D4B">
        <w:rPr>
          <w:color w:val="002060"/>
        </w:rPr>
        <w:t>ree days” for both instances. F</w:t>
      </w:r>
      <w:r>
        <w:rPr>
          <w:color w:val="002060"/>
        </w:rPr>
        <w:t>or clarification, is the 24 hours for terminated employees a NERC requirement?</w:t>
      </w:r>
    </w:p>
    <w:p w:rsidR="00B02C69" w:rsidRDefault="00B02C69" w:rsidP="00B02C69">
      <w:pPr>
        <w:pStyle w:val="BodyTextNumbered"/>
        <w:numPr>
          <w:ilvl w:val="0"/>
          <w:numId w:val="2"/>
        </w:numPr>
      </w:pPr>
      <w:r>
        <w:rPr>
          <w:color w:val="1F497D"/>
          <w:lang w:val="x-none"/>
        </w:rPr>
        <w:lastRenderedPageBreak/>
        <w:t xml:space="preserve">1.3.6 (3) </w:t>
      </w:r>
      <w:r>
        <w:t xml:space="preserve">ERCOT may disclose, and may authorize a Receiving Party or Creating Party to disclose, ECEII to the public or to any person under the provisions of this paragraph. </w:t>
      </w:r>
    </w:p>
    <w:p w:rsidR="00B02C69" w:rsidRDefault="00B02C69" w:rsidP="00B02C69">
      <w:pPr>
        <w:pStyle w:val="List"/>
        <w:ind w:left="1440"/>
      </w:pPr>
      <w:r>
        <w:t>(a)        ERCOT may propose to disclose ECEII.  Any Receiving Party or Creating Party other than ERCOT may request ERCOT authorization to disclose ECEII.</w:t>
      </w:r>
    </w:p>
    <w:p w:rsidR="00B02C69" w:rsidRDefault="00B02C69" w:rsidP="00B02C69">
      <w:pPr>
        <w:ind w:left="1440"/>
      </w:pPr>
      <w:r>
        <w:t>(i)           ERCOT may propose to disclose ECEII if it determines that the public benefit of the proposed disclosure of ECEII outweighs the potential harm resulting from the disclosure, ERCOT shall issue a Market Notice</w:t>
      </w:r>
    </w:p>
    <w:p w:rsidR="00B02C69" w:rsidRDefault="00B02C69" w:rsidP="00B02C69">
      <w:pPr>
        <w:ind w:left="1440"/>
      </w:pPr>
    </w:p>
    <w:p w:rsidR="00B02C69" w:rsidRDefault="00B02C69" w:rsidP="00B02C69">
      <w:pPr>
        <w:pStyle w:val="List"/>
        <w:ind w:left="1440"/>
      </w:pPr>
      <w:r>
        <w:t>b)         The Market Notice issued pursuant to paragraph (a</w:t>
      </w:r>
      <w:proofErr w:type="gramStart"/>
      <w:r>
        <w:t>)(</w:t>
      </w:r>
      <w:proofErr w:type="gramEnd"/>
      <w:r>
        <w:t xml:space="preserve">i) or (ii) above shall identify the ECEII to be disclosed; the party requesting the disclosure; the public benefit justifying the proposed disclosure; the date on which the information may be disclosed, which shall be no sooner than five Business Days following the date of the Market Notice; and, if the proposed disclosure is not to the public, the persons to whom ECEII would be disclosed.  The authorization shall be effective unless a Market Participant submits an objection pursuant to paragraph (c) below.  </w:t>
      </w:r>
    </w:p>
    <w:p w:rsidR="00B02C69" w:rsidRDefault="00B02C69" w:rsidP="00B02C69">
      <w:pPr>
        <w:pStyle w:val="ListParagraph"/>
        <w:numPr>
          <w:ilvl w:val="0"/>
          <w:numId w:val="3"/>
        </w:numPr>
        <w:rPr>
          <w:color w:val="002060"/>
        </w:rPr>
      </w:pPr>
      <w:r>
        <w:rPr>
          <w:color w:val="002060"/>
        </w:rPr>
        <w:t>ERCOT should be required to provide initial and direct notice to creating or affected party.</w:t>
      </w:r>
    </w:p>
    <w:p w:rsidR="00B02C69" w:rsidRDefault="00B02C69" w:rsidP="00B02C69">
      <w:pPr>
        <w:pStyle w:val="ListParagraph"/>
        <w:numPr>
          <w:ilvl w:val="0"/>
          <w:numId w:val="3"/>
        </w:numPr>
        <w:rPr>
          <w:color w:val="002060"/>
        </w:rPr>
      </w:pPr>
      <w:r>
        <w:rPr>
          <w:color w:val="002060"/>
        </w:rPr>
        <w:t>When public notice is provided, which notification list(s) would ERCOT use to communicate?</w:t>
      </w:r>
    </w:p>
    <w:p w:rsidR="00B02C69" w:rsidRDefault="00B02C69" w:rsidP="00B02C69">
      <w:pPr>
        <w:ind w:left="1440"/>
        <w:rPr>
          <w:color w:val="002060"/>
        </w:rPr>
      </w:pPr>
    </w:p>
    <w:p w:rsidR="00B02C69" w:rsidRDefault="00B02C69" w:rsidP="00B02C69">
      <w:pPr>
        <w:pStyle w:val="List"/>
        <w:ind w:left="1440"/>
      </w:pPr>
      <w:r>
        <w:t>(e)        Notwithstanding anything in this Section, ERCOT may disclose ECEII to any federal or state government official without issuing a Market Notice if ERCOT determines that such disclosure is necessary to facilitate the government official’s public duties and that the delay associated with providing the Notice otherwise required by this paragraph would impair that government official’s ability to take action to address a public emergency.  ERCOT shall issue a Market Notice describing such a disclosure as soon as practicable, but no later than 24 hours following the disclosure, unless ERCOT determines that such a Notice could jeopardize public safety or welfare, in which case no Notice is required.</w:t>
      </w:r>
    </w:p>
    <w:p w:rsidR="00B02C69" w:rsidRDefault="00B02C69" w:rsidP="00B02C69">
      <w:pPr>
        <w:pStyle w:val="List"/>
        <w:numPr>
          <w:ilvl w:val="0"/>
          <w:numId w:val="4"/>
        </w:numPr>
        <w:rPr>
          <w:color w:val="002060"/>
        </w:rPr>
      </w:pPr>
      <w:r>
        <w:rPr>
          <w:color w:val="002060"/>
        </w:rPr>
        <w:t>ERCOT should make a deliberate and expedited effort to engage affected party(s) in the conversation rather than notifying “no later than 24 hours following the discussion” or not at all.</w:t>
      </w:r>
    </w:p>
    <w:p w:rsidR="00B02C69" w:rsidRDefault="00B02C69" w:rsidP="00B02C69">
      <w:pPr>
        <w:pStyle w:val="H2"/>
      </w:pPr>
      <w:r>
        <w:t>Definitions 2.2</w:t>
      </w:r>
    </w:p>
    <w:p w:rsidR="00B02C69" w:rsidRDefault="00B02C69" w:rsidP="00B02C69">
      <w:pPr>
        <w:pStyle w:val="H2"/>
      </w:pPr>
      <w:r>
        <w:t xml:space="preserve">ERCOT Critical Energy Infrastructure Information (ECEII) </w:t>
      </w:r>
    </w:p>
    <w:p w:rsidR="00B02C69" w:rsidRDefault="00B02C69" w:rsidP="00B02C69">
      <w:pPr>
        <w:pStyle w:val="BodyText"/>
      </w:pPr>
      <w:r>
        <w:t xml:space="preserve">Specific engineering, vulnerability, or detailed design information concerning ERCOT System Infrastructure that: </w:t>
      </w:r>
    </w:p>
    <w:p w:rsidR="00B02C69" w:rsidRDefault="00B02C69" w:rsidP="00B02C69">
      <w:pPr>
        <w:pStyle w:val="List"/>
      </w:pPr>
      <w:r>
        <w:t xml:space="preserve">(a)        Relates details about the production, generation, transportation, transmission or distribution of energy; </w:t>
      </w:r>
    </w:p>
    <w:p w:rsidR="00B02C69" w:rsidRDefault="00B02C69" w:rsidP="00B02C69">
      <w:pPr>
        <w:pStyle w:val="List"/>
      </w:pPr>
      <w:r>
        <w:lastRenderedPageBreak/>
        <w:t xml:space="preserve">(b)       Could foreseeably be useful to a person planning an attack on ERCOT System Infrastructure; </w:t>
      </w:r>
    </w:p>
    <w:p w:rsidR="00B02C69" w:rsidRDefault="00B02C69" w:rsidP="00B02C69">
      <w:pPr>
        <w:pStyle w:val="List"/>
      </w:pPr>
      <w:r>
        <w:t xml:space="preserve">(c)        Is exempt from mandatory disclosure under the Freedom of Information Act, 5 U.S.C. § 552; and </w:t>
      </w:r>
    </w:p>
    <w:p w:rsidR="00B02C69" w:rsidRDefault="00B02C69" w:rsidP="00B02C69">
      <w:pPr>
        <w:pStyle w:val="List"/>
      </w:pPr>
      <w:r>
        <w:t>(d)       Does not simply give the general location of the ERCOT System Infrastructure.</w:t>
      </w:r>
    </w:p>
    <w:p w:rsidR="00B02C69" w:rsidRPr="00B02C69" w:rsidRDefault="00B02C69" w:rsidP="00B02C69">
      <w:pPr>
        <w:rPr>
          <w:color w:val="002060"/>
        </w:rPr>
      </w:pPr>
      <w:r w:rsidRPr="00B02C69">
        <w:rPr>
          <w:color w:val="002060"/>
        </w:rPr>
        <w:t>ERCOT has stated that the FERC definition was vague</w:t>
      </w:r>
      <w:r>
        <w:rPr>
          <w:color w:val="002060"/>
        </w:rPr>
        <w:t xml:space="preserve"> however</w:t>
      </w:r>
      <w:r w:rsidRPr="00B02C69">
        <w:rPr>
          <w:color w:val="002060"/>
        </w:rPr>
        <w:t xml:space="preserve"> it is unreasonable to expect everything to be considered CEII or ECEII.</w:t>
      </w:r>
    </w:p>
    <w:p w:rsidR="00B02C69" w:rsidRDefault="00B02C69"/>
    <w:sectPr w:rsidR="00B02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24AE0"/>
    <w:multiLevelType w:val="hybridMultilevel"/>
    <w:tmpl w:val="8042C9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552C5068"/>
    <w:multiLevelType w:val="hybridMultilevel"/>
    <w:tmpl w:val="794241B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8263F2D"/>
    <w:multiLevelType w:val="hybridMultilevel"/>
    <w:tmpl w:val="C4C656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71076235"/>
    <w:multiLevelType w:val="hybridMultilevel"/>
    <w:tmpl w:val="99585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7B5EA0"/>
    <w:multiLevelType w:val="hybridMultilevel"/>
    <w:tmpl w:val="40242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69"/>
    <w:rsid w:val="00211A48"/>
    <w:rsid w:val="005E25E6"/>
    <w:rsid w:val="00817B75"/>
    <w:rsid w:val="00962AF1"/>
    <w:rsid w:val="00B02C69"/>
    <w:rsid w:val="00B8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278A9-D7C9-4E53-BC19-E8267929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Char">
    <w:name w:val="List Char"/>
    <w:aliases w:val="Char2 Char Char Char Char Char,Char2 Char Char"/>
    <w:basedOn w:val="DefaultParagraphFont"/>
    <w:link w:val="List"/>
    <w:semiHidden/>
    <w:locked/>
    <w:rsid w:val="00B02C69"/>
  </w:style>
  <w:style w:type="paragraph" w:styleId="List">
    <w:name w:val="List"/>
    <w:aliases w:val="Char2 Char Char Char Char,Char2 Char"/>
    <w:basedOn w:val="Normal"/>
    <w:link w:val="ListChar"/>
    <w:semiHidden/>
    <w:unhideWhenUsed/>
    <w:rsid w:val="00B02C69"/>
    <w:pPr>
      <w:spacing w:after="240" w:line="240" w:lineRule="auto"/>
      <w:ind w:left="720" w:hanging="720"/>
    </w:pPr>
  </w:style>
  <w:style w:type="paragraph" w:styleId="BodyText">
    <w:name w:val="Body Text"/>
    <w:basedOn w:val="Normal"/>
    <w:link w:val="BodyTextChar"/>
    <w:uiPriority w:val="99"/>
    <w:semiHidden/>
    <w:unhideWhenUsed/>
    <w:rsid w:val="00B02C69"/>
    <w:pPr>
      <w:spacing w:after="12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B02C69"/>
    <w:rPr>
      <w:rFonts w:ascii="Times New Roman" w:hAnsi="Times New Roman" w:cs="Times New Roman"/>
      <w:sz w:val="24"/>
      <w:szCs w:val="24"/>
    </w:rPr>
  </w:style>
  <w:style w:type="paragraph" w:styleId="ListParagraph">
    <w:name w:val="List Paragraph"/>
    <w:basedOn w:val="Normal"/>
    <w:uiPriority w:val="34"/>
    <w:qFormat/>
    <w:rsid w:val="00B02C69"/>
    <w:pPr>
      <w:spacing w:after="0" w:line="240" w:lineRule="auto"/>
      <w:ind w:left="720"/>
    </w:pPr>
    <w:rPr>
      <w:rFonts w:ascii="Calibri" w:hAnsi="Calibri" w:cs="Calibri"/>
    </w:rPr>
  </w:style>
  <w:style w:type="character" w:customStyle="1" w:styleId="BodyTextNumberedChar">
    <w:name w:val="Body Text Numbered Char"/>
    <w:basedOn w:val="DefaultParagraphFont"/>
    <w:link w:val="BodyTextNumbered"/>
    <w:locked/>
    <w:rsid w:val="00B02C69"/>
    <w:rPr>
      <w:lang w:eastAsia="x-none"/>
    </w:rPr>
  </w:style>
  <w:style w:type="paragraph" w:customStyle="1" w:styleId="BodyTextNumbered">
    <w:name w:val="Body Text Numbered"/>
    <w:basedOn w:val="Normal"/>
    <w:link w:val="BodyTextNumberedChar"/>
    <w:rsid w:val="00B02C69"/>
    <w:pPr>
      <w:spacing w:after="240" w:line="240" w:lineRule="auto"/>
      <w:ind w:left="720" w:hanging="720"/>
    </w:pPr>
    <w:rPr>
      <w:lang w:eastAsia="x-none"/>
    </w:rPr>
  </w:style>
  <w:style w:type="character" w:customStyle="1" w:styleId="H2Char">
    <w:name w:val="H2 Char"/>
    <w:basedOn w:val="DefaultParagraphFont"/>
    <w:link w:val="H2"/>
    <w:locked/>
    <w:rsid w:val="00B02C69"/>
    <w:rPr>
      <w:b/>
      <w:bCs/>
    </w:rPr>
  </w:style>
  <w:style w:type="paragraph" w:customStyle="1" w:styleId="H2">
    <w:name w:val="H2"/>
    <w:basedOn w:val="Normal"/>
    <w:link w:val="H2Char"/>
    <w:rsid w:val="00B02C69"/>
    <w:pPr>
      <w:keepNext/>
      <w:spacing w:before="240" w:after="240" w:line="240" w:lineRule="auto"/>
      <w:ind w:left="900" w:hanging="90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81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American Electric Power</Company>
  <LinksUpToDate>false</LinksUpToDate>
  <CharactersWithSpaces>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d376700</dc:creator>
  <cp:keywords/>
  <dc:description/>
  <cp:lastModifiedBy>jlevine</cp:lastModifiedBy>
  <cp:revision>2</cp:revision>
  <dcterms:created xsi:type="dcterms:W3CDTF">2019-01-28T16:17:00Z</dcterms:created>
  <dcterms:modified xsi:type="dcterms:W3CDTF">2019-01-28T16:17:00Z</dcterms:modified>
</cp:coreProperties>
</file>