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1137"/>
        <w:gridCol w:w="5293"/>
        <w:gridCol w:w="915"/>
        <w:gridCol w:w="3435"/>
      </w:tblGrid>
      <w:tr w:rsidR="00CE11B7" w:rsidTr="00CE11B7">
        <w:tc>
          <w:tcPr>
            <w:tcW w:w="527" w:type="pct"/>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CE11B7" w:rsidRDefault="00CE11B7">
            <w:pPr>
              <w:rPr>
                <w:b/>
                <w:bCs/>
                <w:color w:val="FFFFFF"/>
                <w:sz w:val="20"/>
                <w:szCs w:val="20"/>
              </w:rPr>
            </w:pPr>
            <w:r>
              <w:rPr>
                <w:b/>
                <w:bCs/>
                <w:color w:val="FFFFFF"/>
                <w:sz w:val="20"/>
                <w:szCs w:val="20"/>
              </w:rPr>
              <w:t>REV REQ NO.</w:t>
            </w:r>
          </w:p>
        </w:tc>
        <w:tc>
          <w:tcPr>
            <w:tcW w:w="2455"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CE11B7" w:rsidRDefault="00CE11B7">
            <w:pPr>
              <w:rPr>
                <w:b/>
                <w:bCs/>
                <w:color w:val="FFFFFF"/>
                <w:sz w:val="20"/>
                <w:szCs w:val="20"/>
              </w:rPr>
            </w:pPr>
            <w:r>
              <w:rPr>
                <w:b/>
                <w:bCs/>
                <w:color w:val="FFFFFF"/>
                <w:sz w:val="20"/>
                <w:szCs w:val="20"/>
              </w:rPr>
              <w:t>DESCRIPTION</w:t>
            </w:r>
          </w:p>
        </w:tc>
        <w:tc>
          <w:tcPr>
            <w:tcW w:w="424"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CE11B7" w:rsidRDefault="00CE11B7">
            <w:pPr>
              <w:jc w:val="center"/>
              <w:rPr>
                <w:b/>
                <w:bCs/>
                <w:color w:val="FFFFFF"/>
                <w:sz w:val="20"/>
                <w:szCs w:val="20"/>
              </w:rPr>
            </w:pPr>
            <w:r>
              <w:rPr>
                <w:b/>
                <w:bCs/>
                <w:color w:val="FFFFFF"/>
                <w:sz w:val="20"/>
                <w:szCs w:val="20"/>
              </w:rPr>
              <w:t>URGENT</w:t>
            </w:r>
          </w:p>
        </w:tc>
        <w:tc>
          <w:tcPr>
            <w:tcW w:w="1593"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CE11B7" w:rsidRDefault="00CE11B7">
            <w:pPr>
              <w:rPr>
                <w:b/>
                <w:bCs/>
                <w:color w:val="FFFFFF"/>
                <w:sz w:val="20"/>
                <w:szCs w:val="20"/>
              </w:rPr>
            </w:pPr>
            <w:r>
              <w:rPr>
                <w:b/>
                <w:bCs/>
                <w:color w:val="FFFFFF"/>
                <w:sz w:val="20"/>
                <w:szCs w:val="20"/>
              </w:rPr>
              <w:t>ERCOT Opinion</w:t>
            </w:r>
          </w:p>
        </w:tc>
      </w:tr>
      <w:tr w:rsidR="00CE11B7" w:rsidTr="00CE11B7">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1B7" w:rsidRDefault="00CE11B7">
            <w:pPr>
              <w:rPr>
                <w:b/>
                <w:bCs/>
                <w:sz w:val="20"/>
                <w:szCs w:val="20"/>
              </w:rPr>
            </w:pPr>
            <w:r>
              <w:rPr>
                <w:b/>
                <w:bCs/>
                <w:sz w:val="20"/>
                <w:szCs w:val="20"/>
              </w:rPr>
              <w:t>886NPRR</w:t>
            </w:r>
          </w:p>
        </w:tc>
        <w:tc>
          <w:tcPr>
            <w:tcW w:w="2455"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rPr>
                <w:b/>
                <w:bCs/>
                <w:sz w:val="20"/>
                <w:szCs w:val="20"/>
              </w:rPr>
            </w:pPr>
            <w:r>
              <w:rPr>
                <w:b/>
                <w:bCs/>
                <w:sz w:val="20"/>
                <w:szCs w:val="20"/>
              </w:rPr>
              <w:t xml:space="preserve">Agreements Between ERCOT and Other Control Area Operators. </w:t>
            </w:r>
            <w:r>
              <w:rPr>
                <w:sz w:val="20"/>
                <w:szCs w:val="20"/>
              </w:rPr>
              <w:t> This Nodal Protocol Revision Request (NPRR) requires ERCOT to receive approval from the ERCOT Board of Directors prior to entering into a new agreement (or modifying an existing agreement) between ERCOT and another Independent System Operator, Reliability Coordinator, and/or Regional Transmission Operator.  [Citigroup]</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jc w:val="center"/>
              <w:rPr>
                <w:sz w:val="20"/>
                <w:szCs w:val="20"/>
              </w:rPr>
            </w:pPr>
            <w:r>
              <w:rPr>
                <w:sz w:val="20"/>
                <w:szCs w:val="20"/>
              </w:rPr>
              <w:t>N</w:t>
            </w:r>
          </w:p>
        </w:tc>
        <w:tc>
          <w:tcPr>
            <w:tcW w:w="1593" w:type="pct"/>
            <w:tcBorders>
              <w:top w:val="nil"/>
              <w:left w:val="nil"/>
              <w:bottom w:val="single" w:sz="8" w:space="0" w:color="auto"/>
              <w:right w:val="single" w:sz="8" w:space="0" w:color="auto"/>
            </w:tcBorders>
            <w:tcMar>
              <w:top w:w="0" w:type="dxa"/>
              <w:left w:w="108" w:type="dxa"/>
              <w:bottom w:w="0" w:type="dxa"/>
              <w:right w:w="108" w:type="dxa"/>
            </w:tcMar>
          </w:tcPr>
          <w:p w:rsidR="00CE11B7" w:rsidRDefault="00CE11B7">
            <w:pPr>
              <w:rPr>
                <w:sz w:val="20"/>
                <w:szCs w:val="20"/>
              </w:rPr>
            </w:pPr>
            <w:r w:rsidRPr="00825E43">
              <w:rPr>
                <w:sz w:val="20"/>
                <w:szCs w:val="20"/>
              </w:rPr>
              <w:t>ERCOT supports Market Participants’ decision on NPRR886 as it allows for greater transparency with stakeholders in connection with new and revised agreements between ERCOT and other Control Area Operators</w:t>
            </w:r>
            <w:r>
              <w:rPr>
                <w:sz w:val="20"/>
                <w:szCs w:val="20"/>
              </w:rPr>
              <w:t>.</w:t>
            </w:r>
          </w:p>
        </w:tc>
      </w:tr>
      <w:tr w:rsidR="00CE11B7" w:rsidTr="00CE11B7">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1B7" w:rsidRDefault="00CE11B7">
            <w:pPr>
              <w:rPr>
                <w:b/>
                <w:bCs/>
                <w:sz w:val="20"/>
                <w:szCs w:val="20"/>
              </w:rPr>
            </w:pPr>
            <w:r>
              <w:rPr>
                <w:b/>
                <w:bCs/>
                <w:sz w:val="20"/>
                <w:szCs w:val="20"/>
              </w:rPr>
              <w:t>905NPRR</w:t>
            </w:r>
          </w:p>
        </w:tc>
        <w:tc>
          <w:tcPr>
            <w:tcW w:w="2455"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rPr>
                <w:b/>
                <w:bCs/>
                <w:sz w:val="20"/>
                <w:szCs w:val="20"/>
              </w:rPr>
            </w:pPr>
            <w:r>
              <w:rPr>
                <w:b/>
                <w:bCs/>
                <w:sz w:val="20"/>
                <w:szCs w:val="20"/>
              </w:rPr>
              <w:t xml:space="preserve">CRR Balancing Account Resettlement.  </w:t>
            </w:r>
            <w:r>
              <w:rPr>
                <w:sz w:val="20"/>
                <w:szCs w:val="20"/>
              </w:rPr>
              <w:t>This Nodal Protocol Revision Request (NPRR) provides resettlement to reflect proper distribution of the Congestion Revenue Right (CRR) Balancing Account (CRRBA).  [MSWG]</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jc w:val="center"/>
              <w:rPr>
                <w:sz w:val="20"/>
                <w:szCs w:val="20"/>
              </w:rPr>
            </w:pPr>
            <w:r>
              <w:rPr>
                <w:sz w:val="20"/>
                <w:szCs w:val="20"/>
              </w:rPr>
              <w:t>N</w:t>
            </w:r>
          </w:p>
        </w:tc>
        <w:tc>
          <w:tcPr>
            <w:tcW w:w="1593" w:type="pct"/>
            <w:tcBorders>
              <w:top w:val="nil"/>
              <w:left w:val="nil"/>
              <w:bottom w:val="single" w:sz="8" w:space="0" w:color="auto"/>
              <w:right w:val="single" w:sz="8" w:space="0" w:color="auto"/>
            </w:tcBorders>
            <w:tcMar>
              <w:top w:w="0" w:type="dxa"/>
              <w:left w:w="108" w:type="dxa"/>
              <w:bottom w:w="0" w:type="dxa"/>
              <w:right w:w="108" w:type="dxa"/>
            </w:tcMar>
          </w:tcPr>
          <w:p w:rsidR="00CE11B7" w:rsidRDefault="00CE11B7">
            <w:pPr>
              <w:rPr>
                <w:sz w:val="20"/>
                <w:szCs w:val="20"/>
              </w:rPr>
            </w:pPr>
            <w:r w:rsidRPr="00825E43">
              <w:rPr>
                <w:sz w:val="20"/>
                <w:szCs w:val="20"/>
              </w:rPr>
              <w:t>ERCOT supports approval of NPRR905 as it enables a more accurate distribution of CRRBA funds with respect to actual Load.</w:t>
            </w:r>
          </w:p>
        </w:tc>
      </w:tr>
      <w:tr w:rsidR="00CE11B7" w:rsidTr="00CE11B7">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1B7" w:rsidRDefault="00CE11B7">
            <w:pPr>
              <w:rPr>
                <w:b/>
                <w:bCs/>
                <w:sz w:val="20"/>
                <w:szCs w:val="20"/>
              </w:rPr>
            </w:pPr>
            <w:r>
              <w:rPr>
                <w:b/>
                <w:bCs/>
                <w:sz w:val="20"/>
                <w:szCs w:val="20"/>
              </w:rPr>
              <w:t>906NPRR</w:t>
            </w:r>
          </w:p>
        </w:tc>
        <w:tc>
          <w:tcPr>
            <w:tcW w:w="2455"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rPr>
                <w:b/>
                <w:bCs/>
                <w:sz w:val="20"/>
                <w:szCs w:val="20"/>
              </w:rPr>
            </w:pPr>
            <w:r>
              <w:rPr>
                <w:b/>
                <w:bCs/>
                <w:sz w:val="20"/>
                <w:szCs w:val="20"/>
              </w:rPr>
              <w:t xml:space="preserve">Clarifying the Decision Making Entity Process.  </w:t>
            </w:r>
            <w:r>
              <w:rPr>
                <w:sz w:val="20"/>
                <w:szCs w:val="20"/>
              </w:rPr>
              <w:t>This Nodal Protocol Revision Request (NPRR) streamlines the Protocol language across all sections and removes any ambiguity that may exist as to how ERCOT systems handle the Decision Making Entity during mitigation.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jc w:val="center"/>
              <w:rPr>
                <w:sz w:val="20"/>
                <w:szCs w:val="20"/>
              </w:rPr>
            </w:pPr>
            <w:r>
              <w:rPr>
                <w:sz w:val="20"/>
                <w:szCs w:val="20"/>
              </w:rPr>
              <w:t>N</w:t>
            </w:r>
          </w:p>
        </w:tc>
        <w:tc>
          <w:tcPr>
            <w:tcW w:w="1593"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rPr>
                <w:sz w:val="20"/>
                <w:szCs w:val="20"/>
              </w:rPr>
            </w:pPr>
            <w:r>
              <w:rPr>
                <w:sz w:val="20"/>
                <w:szCs w:val="20"/>
              </w:rPr>
              <w:t>ERCOT supports approval of NPRR906. (ERCOT sponsored)</w:t>
            </w:r>
          </w:p>
        </w:tc>
      </w:tr>
      <w:tr w:rsidR="00CE11B7" w:rsidTr="00CE11B7">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1B7" w:rsidRDefault="00CE11B7">
            <w:pPr>
              <w:rPr>
                <w:b/>
                <w:bCs/>
                <w:sz w:val="20"/>
                <w:szCs w:val="20"/>
              </w:rPr>
            </w:pPr>
            <w:r>
              <w:rPr>
                <w:b/>
                <w:bCs/>
                <w:sz w:val="20"/>
                <w:szCs w:val="20"/>
              </w:rPr>
              <w:t>907NPRR</w:t>
            </w:r>
          </w:p>
        </w:tc>
        <w:tc>
          <w:tcPr>
            <w:tcW w:w="2455"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rsidP="0044443B">
            <w:pPr>
              <w:rPr>
                <w:b/>
                <w:bCs/>
                <w:sz w:val="20"/>
                <w:szCs w:val="20"/>
              </w:rPr>
            </w:pPr>
            <w:r>
              <w:rPr>
                <w:b/>
                <w:bCs/>
                <w:sz w:val="20"/>
                <w:szCs w:val="20"/>
              </w:rPr>
              <w:t xml:space="preserve">Revise Definition of M1a to Reflect Actual Calendar Days. </w:t>
            </w:r>
            <w:r>
              <w:rPr>
                <w:sz w:val="20"/>
                <w:szCs w:val="20"/>
              </w:rPr>
              <w:t> This Nodal Protocol Revision Request (NPRR) replaces the existing fixed value of M1a with a value that can vary based on non-Bank Business Days and ERCOT holidays following the specific Operating Day.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jc w:val="center"/>
              <w:rPr>
                <w:sz w:val="20"/>
                <w:szCs w:val="20"/>
              </w:rPr>
            </w:pPr>
            <w:r>
              <w:rPr>
                <w:sz w:val="20"/>
                <w:szCs w:val="20"/>
              </w:rPr>
              <w:t>N</w:t>
            </w:r>
          </w:p>
        </w:tc>
        <w:tc>
          <w:tcPr>
            <w:tcW w:w="1593"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rPr>
                <w:sz w:val="20"/>
                <w:szCs w:val="20"/>
              </w:rPr>
            </w:pPr>
            <w:r>
              <w:rPr>
                <w:sz w:val="20"/>
                <w:szCs w:val="20"/>
              </w:rPr>
              <w:t>ERCOT supports approval of NPRR907. (ERCOT sponsored)</w:t>
            </w:r>
          </w:p>
        </w:tc>
      </w:tr>
      <w:tr w:rsidR="00CE11B7" w:rsidTr="00CE11B7">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1B7" w:rsidRDefault="00CE11B7">
            <w:pPr>
              <w:rPr>
                <w:b/>
                <w:bCs/>
                <w:sz w:val="20"/>
                <w:szCs w:val="20"/>
              </w:rPr>
            </w:pPr>
            <w:r>
              <w:rPr>
                <w:b/>
                <w:bCs/>
                <w:sz w:val="20"/>
                <w:szCs w:val="20"/>
              </w:rPr>
              <w:t>910NPRR</w:t>
            </w:r>
          </w:p>
        </w:tc>
        <w:tc>
          <w:tcPr>
            <w:tcW w:w="2455"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rPr>
                <w:b/>
                <w:bCs/>
                <w:sz w:val="20"/>
                <w:szCs w:val="20"/>
              </w:rPr>
            </w:pPr>
            <w:r>
              <w:rPr>
                <w:b/>
                <w:bCs/>
                <w:sz w:val="20"/>
                <w:szCs w:val="20"/>
              </w:rPr>
              <w:t xml:space="preserve">Clarify Treatment of RUC Resource that has a Day-Ahead Market Three-Part Supply Award.  </w:t>
            </w:r>
            <w:r w:rsidRPr="009C5427">
              <w:rPr>
                <w:bCs/>
                <w:sz w:val="20"/>
                <w:szCs w:val="20"/>
              </w:rPr>
              <w:t>This Nodal Protocol Revision Request (NPRR) codifies eligibility, pricing, and Settlement for a Resource that has been awarded a Three-Part Supply Offer in the Day-Ahead Market (DAM) but decides not to operate the Resource in the Real-Time Market (RTM) and subsequently receives a Reliability Unit Commitment (RUC) instruction to operate that Resource.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jc w:val="center"/>
              <w:rPr>
                <w:sz w:val="20"/>
                <w:szCs w:val="20"/>
              </w:rPr>
            </w:pPr>
            <w:r>
              <w:rPr>
                <w:sz w:val="20"/>
                <w:szCs w:val="20"/>
              </w:rPr>
              <w:t>N</w:t>
            </w:r>
          </w:p>
        </w:tc>
        <w:tc>
          <w:tcPr>
            <w:tcW w:w="1593" w:type="pct"/>
            <w:tcBorders>
              <w:top w:val="nil"/>
              <w:left w:val="nil"/>
              <w:bottom w:val="single" w:sz="8" w:space="0" w:color="auto"/>
              <w:right w:val="single" w:sz="8" w:space="0" w:color="auto"/>
            </w:tcBorders>
            <w:tcMar>
              <w:top w:w="0" w:type="dxa"/>
              <w:left w:w="108" w:type="dxa"/>
              <w:bottom w:w="0" w:type="dxa"/>
              <w:right w:w="108" w:type="dxa"/>
            </w:tcMar>
            <w:hideMark/>
          </w:tcPr>
          <w:p w:rsidR="00CE11B7" w:rsidRDefault="00CE11B7">
            <w:pPr>
              <w:rPr>
                <w:sz w:val="20"/>
                <w:szCs w:val="20"/>
              </w:rPr>
            </w:pPr>
            <w:r>
              <w:rPr>
                <w:sz w:val="20"/>
                <w:szCs w:val="20"/>
              </w:rPr>
              <w:t>ERCOT supports approval of NPRR910 (ERCOT sponsored)</w:t>
            </w:r>
          </w:p>
        </w:tc>
      </w:tr>
      <w:tr w:rsidR="00CE11B7" w:rsidTr="00CE11B7">
        <w:tc>
          <w:tcPr>
            <w:tcW w:w="527"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E11B7" w:rsidRDefault="00CE11B7" w:rsidP="009C5427">
            <w:pPr>
              <w:rPr>
                <w:rFonts w:cs="Arial"/>
                <w:b/>
                <w:bCs/>
                <w:sz w:val="20"/>
                <w:szCs w:val="20"/>
              </w:rPr>
            </w:pPr>
            <w:r>
              <w:rPr>
                <w:rFonts w:cs="Arial"/>
                <w:b/>
                <w:bCs/>
                <w:sz w:val="20"/>
                <w:szCs w:val="20"/>
              </w:rPr>
              <w:t>010OBDRR</w:t>
            </w:r>
          </w:p>
        </w:tc>
        <w:tc>
          <w:tcPr>
            <w:tcW w:w="2455" w:type="pct"/>
            <w:tcBorders>
              <w:top w:val="nil"/>
              <w:left w:val="nil"/>
              <w:bottom w:val="single" w:sz="4" w:space="0" w:color="auto"/>
              <w:right w:val="single" w:sz="8" w:space="0" w:color="auto"/>
            </w:tcBorders>
            <w:tcMar>
              <w:top w:w="0" w:type="dxa"/>
              <w:left w:w="108" w:type="dxa"/>
              <w:bottom w:w="0" w:type="dxa"/>
              <w:right w:w="108" w:type="dxa"/>
            </w:tcMar>
          </w:tcPr>
          <w:p w:rsidR="00CE11B7" w:rsidRDefault="00CE11B7" w:rsidP="009C5427">
            <w:pPr>
              <w:rPr>
                <w:rFonts w:cs="Arial"/>
                <w:b/>
                <w:bCs/>
                <w:sz w:val="20"/>
                <w:szCs w:val="20"/>
              </w:rPr>
            </w:pPr>
            <w:r>
              <w:rPr>
                <w:rFonts w:cs="Arial"/>
                <w:b/>
                <w:bCs/>
                <w:sz w:val="20"/>
                <w:szCs w:val="20"/>
              </w:rPr>
              <w:t xml:space="preserve">Related to NPRR910, Clarify Treatment of RUC Resource that has a Day-Ahead Market Three-Part Supply Award  </w:t>
            </w:r>
            <w:r>
              <w:rPr>
                <w:rFonts w:cs="Arial"/>
                <w:sz w:val="20"/>
                <w:szCs w:val="20"/>
              </w:rPr>
              <w:t>This Other Binding Document Revision Request (OBDRR) codifies that for a Resource that has been Awarded a Three-Part Supply Offer in the Day-Ahead Market (DAM) but decides not to operate the Resource in the Real-Time Market (RTM) and subsequently receives a Reliability Unit Commitment (RUC) instruction to operate, that Resource’s High Sustained Limit (HSL) will continue to be included in the On-Line capacity considered in Operating Reserve Demand Curve (ORDC) pricing.  [ERCOT]</w:t>
            </w:r>
          </w:p>
        </w:tc>
        <w:tc>
          <w:tcPr>
            <w:tcW w:w="424" w:type="pct"/>
            <w:tcBorders>
              <w:top w:val="nil"/>
              <w:left w:val="nil"/>
              <w:bottom w:val="single" w:sz="4" w:space="0" w:color="auto"/>
              <w:right w:val="single" w:sz="8" w:space="0" w:color="auto"/>
            </w:tcBorders>
            <w:tcMar>
              <w:top w:w="0" w:type="dxa"/>
              <w:left w:w="108" w:type="dxa"/>
              <w:bottom w:w="0" w:type="dxa"/>
              <w:right w:w="108" w:type="dxa"/>
            </w:tcMar>
          </w:tcPr>
          <w:p w:rsidR="00CE11B7" w:rsidRDefault="00CE11B7" w:rsidP="009C5427">
            <w:pPr>
              <w:jc w:val="center"/>
              <w:rPr>
                <w:rFonts w:cs="Arial"/>
                <w:sz w:val="20"/>
                <w:szCs w:val="20"/>
              </w:rPr>
            </w:pPr>
            <w:r>
              <w:rPr>
                <w:rFonts w:cs="Arial"/>
                <w:sz w:val="20"/>
                <w:szCs w:val="20"/>
              </w:rPr>
              <w:t>N</w:t>
            </w:r>
          </w:p>
        </w:tc>
        <w:tc>
          <w:tcPr>
            <w:tcW w:w="1593" w:type="pct"/>
            <w:tcBorders>
              <w:top w:val="nil"/>
              <w:left w:val="nil"/>
              <w:bottom w:val="single" w:sz="4" w:space="0" w:color="auto"/>
              <w:right w:val="single" w:sz="8" w:space="0" w:color="auto"/>
            </w:tcBorders>
            <w:tcMar>
              <w:top w:w="0" w:type="dxa"/>
              <w:left w:w="108" w:type="dxa"/>
              <w:bottom w:w="0" w:type="dxa"/>
              <w:right w:w="108" w:type="dxa"/>
            </w:tcMar>
          </w:tcPr>
          <w:p w:rsidR="00CE11B7" w:rsidRDefault="00CE11B7" w:rsidP="009C5427">
            <w:pPr>
              <w:rPr>
                <w:sz w:val="20"/>
                <w:szCs w:val="20"/>
              </w:rPr>
            </w:pPr>
            <w:r>
              <w:rPr>
                <w:sz w:val="20"/>
                <w:szCs w:val="20"/>
              </w:rPr>
              <w:t>ERCOT supports approval of OBDRR010 (ERCOT sponsored)</w:t>
            </w:r>
          </w:p>
        </w:tc>
      </w:tr>
      <w:tr w:rsidR="00CE11B7" w:rsidTr="00CE11B7">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E11B7" w:rsidRDefault="00CE11B7">
            <w:pPr>
              <w:rPr>
                <w:b/>
                <w:bCs/>
                <w:sz w:val="20"/>
                <w:szCs w:val="20"/>
              </w:rPr>
            </w:pPr>
            <w:r>
              <w:rPr>
                <w:b/>
                <w:bCs/>
                <w:sz w:val="20"/>
                <w:szCs w:val="20"/>
              </w:rPr>
              <w:t>911NPRR</w:t>
            </w:r>
          </w:p>
        </w:tc>
        <w:tc>
          <w:tcPr>
            <w:tcW w:w="2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E11B7" w:rsidRDefault="00CE11B7">
            <w:pPr>
              <w:rPr>
                <w:b/>
                <w:bCs/>
                <w:sz w:val="20"/>
                <w:szCs w:val="20"/>
              </w:rPr>
            </w:pPr>
            <w:r>
              <w:rPr>
                <w:b/>
                <w:bCs/>
                <w:sz w:val="20"/>
                <w:szCs w:val="20"/>
              </w:rPr>
              <w:t xml:space="preserve">Improved Calculation of Real-Time LMPs at Logical Resource Nodes for On-Line Combined Cycle Generation Resources.  </w:t>
            </w:r>
            <w:r w:rsidRPr="009C5427">
              <w:rPr>
                <w:bCs/>
                <w:sz w:val="20"/>
                <w:szCs w:val="20"/>
              </w:rPr>
              <w:t xml:space="preserve">This Nodal Protocol Revision Request (NPRR) follows NPRR890, Correction to Calculation of Real-Time LMPs at Logical Resource Node for On-Line Combined Cycle Generation Resources.  The intent of NPRR890 was to align Protocol language with ERCOT’s systems.  The current Protocol language calculates the Locational Marginal Price (LMP) for a Combined Cycle Generation Resource (“CCGR”) using a weighted average of the Shift Factors for each Generation Resource in the On-Line CCGR using the Real-Time telemetered outputs of the Generation Resources to calculate the weight factor.  This language reverts the applicable </w:t>
            </w:r>
            <w:r w:rsidRPr="009C5427">
              <w:rPr>
                <w:bCs/>
                <w:sz w:val="20"/>
                <w:szCs w:val="20"/>
              </w:rPr>
              <w:lastRenderedPageBreak/>
              <w:t>Protocol sections back to previous language for determining Real-Time LMPs of the logical Resource Nodes for On-Line CCGRs.  Reverting the Protocol language back results in those CCGR LMPs being based on a weighted average of LMPs at the Resource Node for each of the Generation Resources in the On-Line CCGRs, using the Real-Time telemetered outputs of the Generation Resources to calculate the weight factor.  This NPRR also retains the language from NPRR890 that clarifies the formula for Off-Line CCGRs.  [ERCOT]</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E11B7" w:rsidRDefault="00CE11B7">
            <w:pPr>
              <w:jc w:val="center"/>
              <w:rPr>
                <w:sz w:val="20"/>
                <w:szCs w:val="20"/>
              </w:rPr>
            </w:pPr>
            <w:r>
              <w:rPr>
                <w:sz w:val="20"/>
                <w:szCs w:val="20"/>
              </w:rPr>
              <w:lastRenderedPageBreak/>
              <w:t>N</w:t>
            </w:r>
          </w:p>
        </w:tc>
        <w:tc>
          <w:tcPr>
            <w:tcW w:w="15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E11B7" w:rsidRPr="009C5427" w:rsidRDefault="00CE11B7">
            <w:pPr>
              <w:rPr>
                <w:sz w:val="20"/>
                <w:szCs w:val="20"/>
              </w:rPr>
            </w:pPr>
            <w:r>
              <w:rPr>
                <w:sz w:val="20"/>
                <w:szCs w:val="20"/>
              </w:rPr>
              <w:t>ERCOT supports approval of NPRR911 (ERCOT sponsored)</w:t>
            </w:r>
          </w:p>
        </w:tc>
      </w:tr>
      <w:tr w:rsidR="00CE11B7" w:rsidTr="00CE11B7">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1B7" w:rsidRDefault="00CE11B7" w:rsidP="0044443B">
            <w:pPr>
              <w:rPr>
                <w:b/>
                <w:bCs/>
                <w:sz w:val="20"/>
                <w:szCs w:val="20"/>
              </w:rPr>
            </w:pPr>
            <w:r>
              <w:rPr>
                <w:b/>
                <w:bCs/>
                <w:sz w:val="20"/>
                <w:szCs w:val="20"/>
              </w:rPr>
              <w:t>011OBDRR</w:t>
            </w:r>
          </w:p>
        </w:tc>
        <w:tc>
          <w:tcPr>
            <w:tcW w:w="2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1B7" w:rsidRDefault="00CE11B7" w:rsidP="0044443B">
            <w:pPr>
              <w:rPr>
                <w:b/>
                <w:bCs/>
                <w:sz w:val="20"/>
                <w:szCs w:val="20"/>
              </w:rPr>
            </w:pPr>
            <w:r w:rsidRPr="0044443B">
              <w:rPr>
                <w:b/>
                <w:bCs/>
                <w:sz w:val="20"/>
                <w:szCs w:val="20"/>
              </w:rPr>
              <w:t>ORDC OBD Revisions for PUCT Project 48551</w:t>
            </w:r>
            <w:r>
              <w:rPr>
                <w:b/>
                <w:bCs/>
                <w:sz w:val="20"/>
                <w:szCs w:val="20"/>
              </w:rPr>
              <w:t>.</w:t>
            </w:r>
            <w:r w:rsidRPr="0044443B">
              <w:rPr>
                <w:bCs/>
                <w:sz w:val="20"/>
                <w:szCs w:val="20"/>
              </w:rPr>
              <w:t xml:space="preserve">  This Other Binding Document Revision Request (OBDRR) revises the methodology for calculating the Lo</w:t>
            </w:r>
            <w:bookmarkStart w:id="0" w:name="_GoBack"/>
            <w:bookmarkEnd w:id="0"/>
            <w:r w:rsidRPr="0044443B">
              <w:rPr>
                <w:bCs/>
                <w:sz w:val="20"/>
                <w:szCs w:val="20"/>
              </w:rPr>
              <w:t>ss of Load Probability (LOLP) to include a shift of the mean in two steps and replaces the season and time of day blocks with a blended curve for all seasons and hours.</w:t>
            </w:r>
            <w:r>
              <w:rPr>
                <w:bCs/>
                <w:sz w:val="20"/>
                <w:szCs w:val="20"/>
              </w:rPr>
              <w:t xml:space="preserve">  [ERCOT]</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1B7" w:rsidRDefault="00CE11B7" w:rsidP="0044443B">
            <w:pPr>
              <w:jc w:val="center"/>
              <w:rPr>
                <w:sz w:val="20"/>
                <w:szCs w:val="20"/>
              </w:rPr>
            </w:pPr>
            <w:r>
              <w:rPr>
                <w:sz w:val="20"/>
                <w:szCs w:val="20"/>
              </w:rPr>
              <w:t>N</w:t>
            </w:r>
          </w:p>
        </w:tc>
        <w:tc>
          <w:tcPr>
            <w:tcW w:w="15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1B7" w:rsidRPr="009C5427" w:rsidRDefault="00CE11B7" w:rsidP="0044443B">
            <w:pPr>
              <w:rPr>
                <w:sz w:val="20"/>
                <w:szCs w:val="20"/>
              </w:rPr>
            </w:pPr>
            <w:r>
              <w:rPr>
                <w:sz w:val="20"/>
                <w:szCs w:val="20"/>
              </w:rPr>
              <w:t>ERCOT supports approval of OBDRR011 (ERCOT sponsored)</w:t>
            </w:r>
          </w:p>
        </w:tc>
      </w:tr>
      <w:tr w:rsidR="004C394E" w:rsidTr="00CE11B7">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94E" w:rsidRDefault="004C394E" w:rsidP="0044443B">
            <w:pPr>
              <w:rPr>
                <w:b/>
                <w:bCs/>
                <w:sz w:val="20"/>
                <w:szCs w:val="20"/>
              </w:rPr>
            </w:pPr>
            <w:r>
              <w:rPr>
                <w:b/>
                <w:bCs/>
                <w:sz w:val="20"/>
                <w:szCs w:val="20"/>
              </w:rPr>
              <w:t>863NPRR</w:t>
            </w:r>
          </w:p>
        </w:tc>
        <w:tc>
          <w:tcPr>
            <w:tcW w:w="2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94E" w:rsidRPr="0044443B" w:rsidRDefault="004C394E" w:rsidP="0044443B">
            <w:pPr>
              <w:rPr>
                <w:b/>
                <w:bCs/>
                <w:sz w:val="20"/>
                <w:szCs w:val="20"/>
              </w:rPr>
            </w:pPr>
            <w:r>
              <w:rPr>
                <w:b/>
                <w:bCs/>
                <w:sz w:val="20"/>
                <w:szCs w:val="20"/>
              </w:rPr>
              <w:t>Creation of ERCOT Contingency Reserve Service and Revisions to Responsive Reserve.</w:t>
            </w:r>
            <w:r>
              <w:rPr>
                <w:sz w:val="20"/>
                <w:szCs w:val="20"/>
              </w:rPr>
              <w:t>  This Nodal Protocol Revision Request (NPRR) modifies Responsive Reserve (RRS) to be primarily a frequency response service and creates a new Ancillary Service: ERCOT Contingency Reserve Service (ECRS).  [STEC]</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94E" w:rsidRDefault="004C394E" w:rsidP="0044443B">
            <w:pPr>
              <w:jc w:val="center"/>
              <w:rPr>
                <w:sz w:val="20"/>
                <w:szCs w:val="20"/>
              </w:rPr>
            </w:pPr>
            <w:r>
              <w:rPr>
                <w:sz w:val="20"/>
                <w:szCs w:val="20"/>
              </w:rPr>
              <w:t>N</w:t>
            </w:r>
          </w:p>
        </w:tc>
        <w:tc>
          <w:tcPr>
            <w:tcW w:w="15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94E" w:rsidRDefault="004C394E" w:rsidP="0044443B">
            <w:pPr>
              <w:rPr>
                <w:sz w:val="20"/>
                <w:szCs w:val="20"/>
              </w:rPr>
            </w:pPr>
            <w:r w:rsidRPr="00644012">
              <w:rPr>
                <w:sz w:val="20"/>
                <w:szCs w:val="20"/>
              </w:rPr>
              <w:t xml:space="preserve">ERCOT supports </w:t>
            </w:r>
            <w:r>
              <w:rPr>
                <w:sz w:val="20"/>
                <w:szCs w:val="20"/>
              </w:rPr>
              <w:t xml:space="preserve">approval of </w:t>
            </w:r>
            <w:r w:rsidRPr="00644012">
              <w:rPr>
                <w:sz w:val="20"/>
                <w:szCs w:val="20"/>
              </w:rPr>
              <w:t xml:space="preserve">NPRR863 as </w:t>
            </w:r>
            <w:r>
              <w:rPr>
                <w:sz w:val="20"/>
                <w:szCs w:val="20"/>
              </w:rPr>
              <w:t>it</w:t>
            </w:r>
            <w:r w:rsidRPr="00644012">
              <w:rPr>
                <w:sz w:val="20"/>
                <w:szCs w:val="20"/>
              </w:rPr>
              <w:t xml:space="preserve"> unbundles </w:t>
            </w:r>
            <w:r>
              <w:rPr>
                <w:sz w:val="20"/>
                <w:szCs w:val="20"/>
              </w:rPr>
              <w:t xml:space="preserve">the </w:t>
            </w:r>
            <w:r w:rsidRPr="00644012">
              <w:rPr>
                <w:sz w:val="20"/>
                <w:szCs w:val="20"/>
              </w:rPr>
              <w:t>exi</w:t>
            </w:r>
            <w:r>
              <w:rPr>
                <w:sz w:val="20"/>
                <w:szCs w:val="20"/>
              </w:rPr>
              <w:t>sting Responsive Reserve</w:t>
            </w:r>
            <w:r w:rsidRPr="00644012">
              <w:rPr>
                <w:sz w:val="20"/>
                <w:szCs w:val="20"/>
              </w:rPr>
              <w:t xml:space="preserve"> (RRS)</w:t>
            </w:r>
            <w:r>
              <w:rPr>
                <w:sz w:val="20"/>
                <w:szCs w:val="20"/>
              </w:rPr>
              <w:t xml:space="preserve"> service and revises the Ancillary Service framework</w:t>
            </w:r>
            <w:r w:rsidRPr="00644012">
              <w:rPr>
                <w:sz w:val="20"/>
                <w:szCs w:val="20"/>
              </w:rPr>
              <w:t xml:space="preserve"> to efficiently meet future rel</w:t>
            </w:r>
            <w:r>
              <w:rPr>
                <w:sz w:val="20"/>
                <w:szCs w:val="20"/>
              </w:rPr>
              <w:t>iability needs.</w:t>
            </w:r>
          </w:p>
        </w:tc>
      </w:tr>
      <w:tr w:rsidR="004C394E" w:rsidTr="00CE11B7">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94E" w:rsidRDefault="004C394E" w:rsidP="0044443B">
            <w:pPr>
              <w:rPr>
                <w:b/>
                <w:bCs/>
                <w:sz w:val="20"/>
                <w:szCs w:val="20"/>
              </w:rPr>
            </w:pPr>
            <w:r>
              <w:rPr>
                <w:b/>
                <w:bCs/>
                <w:sz w:val="20"/>
                <w:szCs w:val="20"/>
              </w:rPr>
              <w:t>915NPRR</w:t>
            </w:r>
          </w:p>
        </w:tc>
        <w:tc>
          <w:tcPr>
            <w:tcW w:w="2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94E" w:rsidRDefault="004C394E" w:rsidP="0044443B">
            <w:pPr>
              <w:rPr>
                <w:b/>
                <w:bCs/>
                <w:sz w:val="20"/>
                <w:szCs w:val="20"/>
              </w:rPr>
            </w:pPr>
            <w:r w:rsidRPr="009C5427">
              <w:rPr>
                <w:b/>
                <w:bCs/>
                <w:sz w:val="20"/>
                <w:szCs w:val="20"/>
              </w:rPr>
              <w:t>Define Limited Duration Resource and Clarify Telemetered Resource Status Requirements.</w:t>
            </w:r>
            <w:r w:rsidRPr="009C5427">
              <w:rPr>
                <w:bCs/>
                <w:sz w:val="20"/>
                <w:szCs w:val="20"/>
              </w:rPr>
              <w:t>  This Nodal Protocol Revision Request (NPRR) defines Limited Duration Resources (LDRs) and clarifies how the Qualified Scheduling Entity (QSE) representing an LDR shall indicate to ERCOT its unwillingness to be deployed in Real-Time to reserve capacity for expected values above its Energy Offer Curve.  [</w:t>
            </w:r>
            <w:proofErr w:type="spellStart"/>
            <w:r w:rsidRPr="009C5427">
              <w:rPr>
                <w:bCs/>
                <w:sz w:val="20"/>
                <w:szCs w:val="20"/>
              </w:rPr>
              <w:t>Luminant</w:t>
            </w:r>
            <w:proofErr w:type="spellEnd"/>
            <w:r w:rsidRPr="009C5427">
              <w:rPr>
                <w:bCs/>
                <w:sz w:val="20"/>
                <w:szCs w:val="20"/>
              </w:rPr>
              <w:t>]</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94E" w:rsidRDefault="004C394E" w:rsidP="0044443B">
            <w:pPr>
              <w:jc w:val="center"/>
              <w:rPr>
                <w:sz w:val="20"/>
                <w:szCs w:val="20"/>
              </w:rPr>
            </w:pPr>
            <w:r>
              <w:rPr>
                <w:sz w:val="20"/>
                <w:szCs w:val="20"/>
              </w:rPr>
              <w:t>Y</w:t>
            </w:r>
          </w:p>
        </w:tc>
        <w:tc>
          <w:tcPr>
            <w:tcW w:w="15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94E" w:rsidRPr="00644012" w:rsidRDefault="004C394E" w:rsidP="0044443B">
            <w:pPr>
              <w:rPr>
                <w:sz w:val="20"/>
                <w:szCs w:val="20"/>
              </w:rPr>
            </w:pPr>
            <w:r w:rsidRPr="00644012">
              <w:rPr>
                <w:sz w:val="20"/>
                <w:szCs w:val="20"/>
              </w:rPr>
              <w:t>ERCOT supports Market Participants’ decision on NPRR915 as it provides a short-term clarification for LDRs, and ERCOT remains committed to working with the market on the necessary long-term solutions to address energy storage issues.</w:t>
            </w:r>
          </w:p>
        </w:tc>
      </w:tr>
    </w:tbl>
    <w:p w:rsidR="00E60BF8" w:rsidRDefault="00E60BF8"/>
    <w:sectPr w:rsidR="00E60BF8"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4B6" w:rsidRDefault="008874B6" w:rsidP="00985FF4">
      <w:r>
        <w:separator/>
      </w:r>
    </w:p>
  </w:endnote>
  <w:endnote w:type="continuationSeparator" w:id="0">
    <w:p w:rsidR="008874B6" w:rsidRDefault="008874B6"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4B6" w:rsidRDefault="008874B6" w:rsidP="00985FF4">
      <w:r>
        <w:separator/>
      </w:r>
    </w:p>
  </w:footnote>
  <w:footnote w:type="continuationSeparator" w:id="0">
    <w:p w:rsidR="008874B6" w:rsidRDefault="008874B6"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ERCOT Opinions for the 1/30/19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131AD8"/>
    <w:rsid w:val="0044443B"/>
    <w:rsid w:val="004C394E"/>
    <w:rsid w:val="005E147E"/>
    <w:rsid w:val="006256A5"/>
    <w:rsid w:val="00825E43"/>
    <w:rsid w:val="008874B6"/>
    <w:rsid w:val="00985FF4"/>
    <w:rsid w:val="009C5427"/>
    <w:rsid w:val="00A94986"/>
    <w:rsid w:val="00AC0725"/>
    <w:rsid w:val="00CE11B7"/>
    <w:rsid w:val="00E60BF8"/>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A. Boren</cp:lastModifiedBy>
  <cp:revision>2</cp:revision>
  <dcterms:created xsi:type="dcterms:W3CDTF">2019-01-29T14:53:00Z</dcterms:created>
  <dcterms:modified xsi:type="dcterms:W3CDTF">2019-01-29T14:53:00Z</dcterms:modified>
</cp:coreProperties>
</file>