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>
      <w:bookmarkStart w:id="0" w:name="_GoBack"/>
      <w:bookmarkEnd w:id="0"/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8E3154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12</w:t>
      </w:r>
      <w:r w:rsidR="00253398">
        <w:rPr>
          <w:rFonts w:ascii="Arial" w:hAnsi="Arial" w:cs="Arial"/>
          <w:b/>
        </w:rPr>
        <w:t>, 201</w:t>
      </w:r>
      <w:r w:rsidR="007C64F2">
        <w:rPr>
          <w:rFonts w:ascii="Arial" w:hAnsi="Arial" w:cs="Arial"/>
          <w:b/>
        </w:rPr>
        <w:t>8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054B9E">
        <w:rPr>
          <w:rFonts w:ascii="Arial" w:hAnsi="Arial" w:cs="Arial"/>
          <w:b/>
        </w:rPr>
        <w:t>168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BF4FA4" w:rsidRDefault="004832B9" w:rsidP="008774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  <w:p w:rsidR="00BD34F6" w:rsidRDefault="00BD34F6" w:rsidP="00877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Barnes – Reliant Energy</w:t>
            </w:r>
          </w:p>
          <w:p w:rsidR="004832B9" w:rsidRPr="00723CB9" w:rsidRDefault="004832B9" w:rsidP="0087740D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BD34F6" w:rsidRDefault="00BD34F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E169E3" w:rsidRDefault="00644504" w:rsidP="00FC4F8C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 xml:space="preserve">Michael Mathews 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Bryan Texas Utilities</w:t>
            </w:r>
          </w:p>
          <w:p w:rsidR="00644504" w:rsidRDefault="00644504" w:rsidP="00FC4F8C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City of Garland</w:t>
            </w:r>
          </w:p>
          <w:p w:rsidR="00644504" w:rsidRPr="00394AAC" w:rsidRDefault="00644504" w:rsidP="00FC4F8C">
            <w:pPr>
              <w:rPr>
                <w:sz w:val="22"/>
                <w:szCs w:val="22"/>
              </w:rPr>
            </w:pPr>
          </w:p>
        </w:tc>
      </w:tr>
      <w:tr w:rsidR="008A30DC" w:rsidRPr="00394AAC" w:rsidTr="00406A84">
        <w:tc>
          <w:tcPr>
            <w:tcW w:w="2448" w:type="dxa"/>
          </w:tcPr>
          <w:p w:rsidR="008A30DC" w:rsidRDefault="008A30DC" w:rsidP="009B2AE0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8A30DC" w:rsidRPr="00394AAC" w:rsidRDefault="008A30DC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8A30DC" w:rsidRDefault="008A30DC" w:rsidP="009B2AE0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9A48B2" w:rsidRDefault="009A48B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5C658B" w:rsidRDefault="005C658B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Abbott</w:t>
            </w:r>
          </w:p>
          <w:p w:rsidR="00BB0956" w:rsidRDefault="00BB095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0623DA" w:rsidRDefault="00655E57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321C6D" w:rsidRDefault="00321C6D" w:rsidP="0032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321C6D" w:rsidRDefault="00321C6D" w:rsidP="0032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E64573" w:rsidRPr="00217EF2" w:rsidRDefault="00E64573" w:rsidP="009A48B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E90ADF" w:rsidRDefault="00E90ADF" w:rsidP="00E90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58421F" w:rsidRDefault="00F30E88" w:rsidP="00F3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9A48B2" w:rsidRDefault="00644504" w:rsidP="00BB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644504" w:rsidRPr="00217EF2" w:rsidRDefault="00644504" w:rsidP="00BB0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Anh</w:t>
            </w:r>
            <w:proofErr w:type="spellEnd"/>
            <w:r>
              <w:rPr>
                <w:sz w:val="22"/>
                <w:szCs w:val="22"/>
              </w:rPr>
              <w:t xml:space="preserve"> Du</w:t>
            </w: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811012" w:rsidRDefault="00811012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62E66" w:rsidRDefault="00462E66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034C0A" w:rsidRDefault="00034C0A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9B2AE0" w:rsidRDefault="00AB00B9" w:rsidP="00337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C26F8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 w:rsidR="00C26F87">
              <w:rPr>
                <w:sz w:val="22"/>
                <w:szCs w:val="22"/>
              </w:rPr>
              <w:t>thi Gaddam</w:t>
            </w:r>
          </w:p>
          <w:p w:rsidR="00CC3B01" w:rsidRDefault="00CC3B01" w:rsidP="00CC3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034C0A" w:rsidRDefault="00034C0A" w:rsidP="00034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CC3B01" w:rsidRDefault="00CC3B01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CC3B01" w:rsidRDefault="00644504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644504" w:rsidRDefault="00644504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 Gonzalez</w:t>
            </w:r>
          </w:p>
          <w:p w:rsidR="00644504" w:rsidRDefault="00644504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Rosel</w:t>
            </w:r>
          </w:p>
          <w:p w:rsidR="00F30E88" w:rsidRDefault="004832B9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AC1D12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8E3154">
        <w:rPr>
          <w:rFonts w:ascii="Arial" w:hAnsi="Arial" w:cs="Arial"/>
          <w:b/>
          <w:u w:val="single"/>
        </w:rPr>
        <w:t>October 17</w:t>
      </w:r>
      <w:r w:rsidRPr="009A285A">
        <w:rPr>
          <w:rFonts w:ascii="Arial" w:hAnsi="Arial" w:cs="Arial"/>
          <w:b/>
          <w:u w:val="single"/>
        </w:rPr>
        <w:t>, 201</w:t>
      </w:r>
      <w:r w:rsidR="005C43E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431D81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7F2DB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8E3154">
        <w:rPr>
          <w:rFonts w:ascii="Arial" w:hAnsi="Arial" w:cs="Arial"/>
        </w:rPr>
        <w:t>October 17</w:t>
      </w:r>
      <w:r w:rsidR="00E60896" w:rsidRPr="00E60896">
        <w:rPr>
          <w:rFonts w:ascii="Arial" w:hAnsi="Arial" w:cs="Arial"/>
        </w:rPr>
        <w:t>, 201</w:t>
      </w:r>
      <w:r w:rsidR="005C43EA">
        <w:rPr>
          <w:rFonts w:ascii="Arial" w:hAnsi="Arial" w:cs="Arial"/>
        </w:rPr>
        <w:t>8</w:t>
      </w:r>
      <w:r w:rsidR="00E60896" w:rsidRPr="00E60896">
        <w:rPr>
          <w:rFonts w:ascii="Arial" w:hAnsi="Arial" w:cs="Arial"/>
        </w:rPr>
        <w:t xml:space="preserve"> minutes. </w:t>
      </w:r>
      <w:r w:rsidR="007F2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Andrew Barkley</w:t>
      </w:r>
      <w:r w:rsidR="00B830E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9725FD" w:rsidRDefault="009725FD" w:rsidP="009727DE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D25F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863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D25FED" w:rsidP="00A15D14">
            <w:pPr>
              <w:jc w:val="both"/>
              <w:rPr>
                <w:rFonts w:ascii="Arial" w:hAnsi="Arial" w:cs="Arial"/>
              </w:rPr>
            </w:pPr>
            <w:r w:rsidRPr="00D25FED">
              <w:rPr>
                <w:rFonts w:ascii="Arial" w:hAnsi="Arial" w:cs="Arial"/>
              </w:rPr>
              <w:t>Creation of Primary Frequency Response Service Product and Revisions to Responsive Reserve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D25F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886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D25FED" w:rsidP="00A15D14">
            <w:pPr>
              <w:jc w:val="both"/>
              <w:rPr>
                <w:rFonts w:ascii="Arial" w:hAnsi="Arial" w:cs="Arial"/>
              </w:rPr>
            </w:pPr>
            <w:r w:rsidRPr="00D25FED">
              <w:rPr>
                <w:rFonts w:ascii="Arial" w:hAnsi="Arial" w:cs="Arial"/>
              </w:rPr>
              <w:t>Agreements Between ERCOT and Other ISOs, RCs, and/or RTOs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D25F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905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D965E8" w:rsidP="00A15D14">
            <w:pPr>
              <w:jc w:val="both"/>
              <w:rPr>
                <w:rFonts w:ascii="Arial" w:hAnsi="Arial" w:cs="Arial"/>
              </w:rPr>
            </w:pPr>
            <w:r w:rsidRPr="00D965E8">
              <w:rPr>
                <w:rFonts w:ascii="Arial" w:hAnsi="Arial" w:cs="Arial"/>
              </w:rPr>
              <w:t>CRR Balancing Account Resettlement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D96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D965E8">
              <w:rPr>
                <w:rFonts w:ascii="Arial" w:hAnsi="Arial" w:cs="Arial"/>
              </w:rPr>
              <w:t>906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D965E8" w:rsidP="00A15D14">
            <w:pPr>
              <w:jc w:val="both"/>
              <w:rPr>
                <w:rFonts w:ascii="Arial" w:hAnsi="Arial" w:cs="Arial"/>
              </w:rPr>
            </w:pPr>
            <w:r w:rsidRPr="00D965E8">
              <w:rPr>
                <w:rFonts w:ascii="Arial" w:hAnsi="Arial" w:cs="Arial"/>
              </w:rPr>
              <w:t>Clarifying the Decision Making Entity Process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9725FD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Donald Meek submitted a motion that </w:t>
      </w:r>
      <w:r w:rsidR="00D965E8">
        <w:rPr>
          <w:rFonts w:ascii="Arial" w:hAnsi="Arial" w:cs="Arial"/>
        </w:rPr>
        <w:t xml:space="preserve">the above </w:t>
      </w:r>
      <w:r>
        <w:rPr>
          <w:rFonts w:ascii="Arial" w:hAnsi="Arial" w:cs="Arial"/>
        </w:rPr>
        <w:t>NPRRs have no credit implications.  Bill Barnes seconded the motion.</w:t>
      </w:r>
      <w:r w:rsidR="00EE11C2">
        <w:rPr>
          <w:rFonts w:ascii="Arial" w:hAnsi="Arial" w:cs="Arial"/>
        </w:rPr>
        <w:t xml:space="preserve">  Motion passed.</w:t>
      </w:r>
    </w:p>
    <w:p w:rsidR="00AC1D12" w:rsidRDefault="00AC1D12" w:rsidP="009727DE">
      <w:pPr>
        <w:jc w:val="both"/>
        <w:rPr>
          <w:rFonts w:ascii="Arial" w:hAnsi="Arial" w:cs="Arial"/>
        </w:rPr>
      </w:pPr>
    </w:p>
    <w:p w:rsidR="00AC1D12" w:rsidRDefault="00EE44B3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NPRR 907</w:t>
      </w:r>
      <w:r w:rsidR="00761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A2537">
        <w:rPr>
          <w:rFonts w:ascii="Arial" w:hAnsi="Arial" w:cs="Arial"/>
        </w:rPr>
        <w:t>Revise Definition of M1a to Reflect Actual Calendar Days</w:t>
      </w:r>
      <w:r>
        <w:rPr>
          <w:rFonts w:ascii="Arial" w:hAnsi="Arial" w:cs="Arial"/>
        </w:rPr>
        <w:t xml:space="preserve">, </w:t>
      </w:r>
      <w:r w:rsidR="00761253">
        <w:rPr>
          <w:rFonts w:ascii="Arial" w:hAnsi="Arial" w:cs="Arial"/>
        </w:rPr>
        <w:t xml:space="preserve">the group reviewed a motion submitted by </w:t>
      </w:r>
      <w:r>
        <w:rPr>
          <w:rFonts w:ascii="Arial" w:hAnsi="Arial" w:cs="Arial"/>
        </w:rPr>
        <w:t xml:space="preserve">Mr. </w:t>
      </w:r>
      <w:r w:rsidR="004D1493">
        <w:rPr>
          <w:rFonts w:ascii="Arial" w:hAnsi="Arial" w:cs="Arial"/>
        </w:rPr>
        <w:t>Barnes</w:t>
      </w:r>
      <w:r>
        <w:rPr>
          <w:rFonts w:ascii="Arial" w:hAnsi="Arial" w:cs="Arial"/>
        </w:rPr>
        <w:t xml:space="preserve"> </w:t>
      </w:r>
      <w:r w:rsidR="00952028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761253">
        <w:rPr>
          <w:rFonts w:ascii="Arial" w:hAnsi="Arial" w:cs="Arial"/>
        </w:rPr>
        <w:t xml:space="preserve">the NPRR </w:t>
      </w:r>
      <w:r w:rsidR="00AC1D12">
        <w:rPr>
          <w:rFonts w:ascii="Arial" w:hAnsi="Arial" w:cs="Arial"/>
        </w:rPr>
        <w:t>has positive credit implications by more accurately computing credit exposure with</w:t>
      </w:r>
      <w:r w:rsidR="0072041B">
        <w:rPr>
          <w:rFonts w:ascii="Arial" w:hAnsi="Arial" w:cs="Arial"/>
        </w:rPr>
        <w:t xml:space="preserve"> respect to actual ERCOT Business D</w:t>
      </w:r>
      <w:r w:rsidR="00AC1D12">
        <w:rPr>
          <w:rFonts w:ascii="Arial" w:hAnsi="Arial" w:cs="Arial"/>
        </w:rPr>
        <w:t>ays.</w:t>
      </w:r>
      <w:r>
        <w:rPr>
          <w:rFonts w:ascii="Arial" w:hAnsi="Arial" w:cs="Arial"/>
        </w:rPr>
        <w:t xml:space="preserve">  Mr. Barnes seconded the motion.</w:t>
      </w:r>
      <w:r w:rsidR="00EE11C2">
        <w:rPr>
          <w:rFonts w:ascii="Arial" w:hAnsi="Arial" w:cs="Arial"/>
        </w:rPr>
        <w:t xml:space="preserve"> Motion passed.</w:t>
      </w:r>
    </w:p>
    <w:p w:rsidR="00FC0001" w:rsidRDefault="00FC0001" w:rsidP="00365F19">
      <w:pPr>
        <w:jc w:val="both"/>
        <w:rPr>
          <w:rFonts w:ascii="Arial" w:hAnsi="Arial" w:cs="Arial"/>
          <w:b/>
          <w:u w:val="single"/>
        </w:rPr>
      </w:pPr>
    </w:p>
    <w:p w:rsidR="00267864" w:rsidRDefault="00652AF3" w:rsidP="00296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NPRR 850</w:t>
      </w:r>
      <w:r w:rsidR="00761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52AF3">
        <w:rPr>
          <w:rFonts w:ascii="Arial" w:hAnsi="Arial" w:cs="Arial"/>
        </w:rPr>
        <w:t>Market Suspension and Restart</w:t>
      </w:r>
      <w:r>
        <w:rPr>
          <w:rFonts w:ascii="Arial" w:hAnsi="Arial" w:cs="Arial"/>
        </w:rPr>
        <w:t>,</w:t>
      </w:r>
      <w:r w:rsidRPr="00652AF3">
        <w:rPr>
          <w:rFonts w:ascii="Arial" w:hAnsi="Arial" w:cs="Arial"/>
        </w:rPr>
        <w:t xml:space="preserve"> </w:t>
      </w:r>
      <w:r w:rsidR="0021454D">
        <w:rPr>
          <w:rFonts w:ascii="Arial" w:hAnsi="Arial" w:cs="Arial"/>
        </w:rPr>
        <w:t>Mr.</w:t>
      </w:r>
      <w:r w:rsidR="004D1493">
        <w:rPr>
          <w:rFonts w:ascii="Arial" w:hAnsi="Arial" w:cs="Arial"/>
        </w:rPr>
        <w:t xml:space="preserve"> Barkley</w:t>
      </w:r>
      <w:r w:rsidR="0021454D">
        <w:rPr>
          <w:rFonts w:ascii="Arial" w:hAnsi="Arial" w:cs="Arial"/>
        </w:rPr>
        <w:t xml:space="preserve"> submitted a motion that the group</w:t>
      </w:r>
      <w:r w:rsidR="002C46C0">
        <w:rPr>
          <w:rFonts w:ascii="Arial" w:hAnsi="Arial" w:cs="Arial"/>
        </w:rPr>
        <w:t xml:space="preserve"> has</w:t>
      </w:r>
      <w:r w:rsidR="0021454D">
        <w:rPr>
          <w:rFonts w:ascii="Arial" w:hAnsi="Arial" w:cs="Arial"/>
        </w:rPr>
        <w:t xml:space="preserve"> reviewed the language for NPRR 850 as approved by PRS and has determined that the NPRR has positi</w:t>
      </w:r>
      <w:r w:rsidR="00213023">
        <w:rPr>
          <w:rFonts w:ascii="Arial" w:hAnsi="Arial" w:cs="Arial"/>
        </w:rPr>
        <w:t>ve credit implications by reducing uncertainty in settlements and c</w:t>
      </w:r>
      <w:r w:rsidR="002F1BC7">
        <w:rPr>
          <w:rFonts w:ascii="Arial" w:hAnsi="Arial" w:cs="Arial"/>
        </w:rPr>
        <w:t>redit in the event of a Market S</w:t>
      </w:r>
      <w:r w:rsidR="00213023">
        <w:rPr>
          <w:rFonts w:ascii="Arial" w:hAnsi="Arial" w:cs="Arial"/>
        </w:rPr>
        <w:t>uspension.</w:t>
      </w:r>
      <w:r w:rsidR="004D1493">
        <w:rPr>
          <w:rFonts w:ascii="Arial" w:hAnsi="Arial" w:cs="Arial"/>
        </w:rPr>
        <w:t xml:space="preserve">  Mr. Barnes</w:t>
      </w:r>
      <w:r w:rsidR="00EE11C2">
        <w:rPr>
          <w:rFonts w:ascii="Arial" w:hAnsi="Arial" w:cs="Arial"/>
        </w:rPr>
        <w:t xml:space="preserve"> seconded the motion.  Motion passed.</w:t>
      </w:r>
      <w:r w:rsidR="004D1493">
        <w:rPr>
          <w:rFonts w:ascii="Arial" w:hAnsi="Arial" w:cs="Arial"/>
        </w:rPr>
        <w:t xml:space="preserve">  </w:t>
      </w:r>
    </w:p>
    <w:p w:rsidR="005D73D2" w:rsidRDefault="005D73D2" w:rsidP="005D73D2">
      <w:pPr>
        <w:jc w:val="both"/>
        <w:rPr>
          <w:rFonts w:ascii="Arial" w:hAnsi="Arial" w:cs="Arial"/>
          <w:b/>
          <w:u w:val="single"/>
        </w:rPr>
      </w:pPr>
    </w:p>
    <w:p w:rsidR="00C97BF1" w:rsidRDefault="00C97BF1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AB4FA5" w:rsidP="005D73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Goals</w:t>
      </w:r>
    </w:p>
    <w:p w:rsidR="005D73D2" w:rsidRDefault="004205E3" w:rsidP="005D7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reviewed the 2018 Credit Working Group goals and agreed to remove the following</w:t>
      </w:r>
      <w:r w:rsidR="00632FFE">
        <w:rPr>
          <w:rFonts w:ascii="Arial" w:hAnsi="Arial" w:cs="Arial"/>
        </w:rPr>
        <w:t xml:space="preserve"> from the goals as they are no longer applicable</w:t>
      </w:r>
      <w:r>
        <w:rPr>
          <w:rFonts w:ascii="Arial" w:hAnsi="Arial" w:cs="Arial"/>
        </w:rPr>
        <w:t xml:space="preserve">: </w:t>
      </w:r>
      <w:r w:rsidR="001C2160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NPRR 850, </w:t>
      </w:r>
      <w:r w:rsidR="001C2160">
        <w:rPr>
          <w:rFonts w:ascii="Arial" w:hAnsi="Arial" w:cs="Arial"/>
        </w:rPr>
        <w:t xml:space="preserve">2) </w:t>
      </w:r>
      <w:r w:rsidR="002626B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redit </w:t>
      </w:r>
      <w:r w:rsidR="002626B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nsurance and </w:t>
      </w:r>
      <w:r w:rsidR="001C2160">
        <w:rPr>
          <w:rFonts w:ascii="Arial" w:hAnsi="Arial" w:cs="Arial"/>
        </w:rPr>
        <w:t xml:space="preserve">3) </w:t>
      </w:r>
      <w:r w:rsidR="002626B0">
        <w:rPr>
          <w:rFonts w:ascii="Arial" w:hAnsi="Arial" w:cs="Arial"/>
        </w:rPr>
        <w:t>D</w:t>
      </w:r>
      <w:r>
        <w:rPr>
          <w:rFonts w:ascii="Arial" w:hAnsi="Arial" w:cs="Arial"/>
        </w:rPr>
        <w:t>evelopment of a CRR calculator.</w:t>
      </w:r>
      <w:r w:rsidR="00632FFE">
        <w:rPr>
          <w:rFonts w:ascii="Arial" w:hAnsi="Arial" w:cs="Arial"/>
        </w:rPr>
        <w:t xml:space="preserve">  Mr. Meek asked ERCOT staff to circulate the revised list to the group for comments and suggestions.</w:t>
      </w:r>
    </w:p>
    <w:p w:rsidR="005D73D2" w:rsidRDefault="005D73D2" w:rsidP="00F03EF2">
      <w:pPr>
        <w:jc w:val="both"/>
        <w:rPr>
          <w:rFonts w:ascii="Arial" w:hAnsi="Arial" w:cs="Arial"/>
        </w:rPr>
      </w:pPr>
    </w:p>
    <w:p w:rsidR="00960C8A" w:rsidRDefault="00960C8A" w:rsidP="00F03EF2">
      <w:pPr>
        <w:jc w:val="both"/>
        <w:rPr>
          <w:rFonts w:ascii="Arial" w:hAnsi="Arial" w:cs="Arial"/>
        </w:rPr>
      </w:pPr>
    </w:p>
    <w:p w:rsidR="00054B9E" w:rsidRPr="0000398B" w:rsidRDefault="00AB4FA5" w:rsidP="00054B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 Re-Entry Qualifications</w:t>
      </w:r>
    </w:p>
    <w:p w:rsidR="00054B9E" w:rsidRDefault="00F2050D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Ruane informed the group that the F&amp;A discussed re-entry qualifications and asked the group if they wanted to explore this topic.</w:t>
      </w:r>
      <w:r w:rsidR="00AB2E9D">
        <w:rPr>
          <w:rFonts w:ascii="Arial" w:hAnsi="Arial" w:cs="Arial"/>
        </w:rPr>
        <w:t xml:space="preserve">  The group asked ERCOT staff</w:t>
      </w:r>
      <w:r w:rsidR="00F53AF2">
        <w:rPr>
          <w:rFonts w:ascii="Arial" w:hAnsi="Arial" w:cs="Arial"/>
        </w:rPr>
        <w:t xml:space="preserve"> to look</w:t>
      </w:r>
      <w:r w:rsidR="00AB2E9D">
        <w:rPr>
          <w:rFonts w:ascii="Arial" w:hAnsi="Arial" w:cs="Arial"/>
        </w:rPr>
        <w:t xml:space="preserve"> </w:t>
      </w:r>
      <w:r w:rsidR="00F53AF2">
        <w:rPr>
          <w:rFonts w:ascii="Arial" w:hAnsi="Arial" w:cs="Arial"/>
        </w:rPr>
        <w:t xml:space="preserve">into the possibility of adopting </w:t>
      </w:r>
      <w:r w:rsidR="00AB2E9D">
        <w:rPr>
          <w:rFonts w:ascii="Arial" w:hAnsi="Arial" w:cs="Arial"/>
        </w:rPr>
        <w:t>PUCT</w:t>
      </w:r>
      <w:r w:rsidR="00F53AF2">
        <w:rPr>
          <w:rFonts w:ascii="Arial" w:hAnsi="Arial" w:cs="Arial"/>
        </w:rPr>
        <w:t>’s</w:t>
      </w:r>
      <w:r w:rsidR="00AB2E9D">
        <w:rPr>
          <w:rFonts w:ascii="Arial" w:hAnsi="Arial" w:cs="Arial"/>
        </w:rPr>
        <w:t xml:space="preserve"> re</w:t>
      </w:r>
      <w:r w:rsidR="00F53AF2">
        <w:rPr>
          <w:rFonts w:ascii="Arial" w:hAnsi="Arial" w:cs="Arial"/>
        </w:rPr>
        <w:t>-entry qualification</w:t>
      </w:r>
      <w:r w:rsidR="00AB2E9D">
        <w:rPr>
          <w:rFonts w:ascii="Arial" w:hAnsi="Arial" w:cs="Arial"/>
        </w:rPr>
        <w:t xml:space="preserve"> requirements for power marketers</w:t>
      </w:r>
      <w:r w:rsidR="00F53AF2">
        <w:rPr>
          <w:rFonts w:ascii="Arial" w:hAnsi="Arial" w:cs="Arial"/>
        </w:rPr>
        <w:t xml:space="preserve">.  </w:t>
      </w:r>
    </w:p>
    <w:p w:rsidR="00F53AF2" w:rsidRDefault="00F53AF2" w:rsidP="00F03EF2">
      <w:pPr>
        <w:jc w:val="both"/>
        <w:rPr>
          <w:rFonts w:ascii="Arial" w:hAnsi="Arial" w:cs="Arial"/>
        </w:rPr>
      </w:pPr>
    </w:p>
    <w:p w:rsidR="001C2160" w:rsidRDefault="001C2160" w:rsidP="00F03EF2">
      <w:pPr>
        <w:jc w:val="both"/>
        <w:rPr>
          <w:rFonts w:ascii="Arial" w:hAnsi="Arial" w:cs="Arial"/>
        </w:rPr>
      </w:pPr>
    </w:p>
    <w:p w:rsidR="00AB4FA5" w:rsidRPr="0000398B" w:rsidRDefault="00AB4FA5" w:rsidP="00AB4FA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Nomination for 2019 CWG/MCWG Officers</w:t>
      </w:r>
    </w:p>
    <w:p w:rsidR="00AB4FA5" w:rsidRDefault="00555376" w:rsidP="00AB4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will send out an email to the group to ask for nominations for CWG/MCWG officers.</w:t>
      </w:r>
    </w:p>
    <w:p w:rsidR="00AB4FA5" w:rsidRDefault="00AB4FA5" w:rsidP="00F03EF2">
      <w:pPr>
        <w:jc w:val="both"/>
        <w:rPr>
          <w:rFonts w:ascii="Arial" w:hAnsi="Arial" w:cs="Arial"/>
        </w:rPr>
      </w:pPr>
    </w:p>
    <w:p w:rsidR="00054B9E" w:rsidRDefault="00054B9E" w:rsidP="00F03EF2">
      <w:pPr>
        <w:jc w:val="both"/>
        <w:rPr>
          <w:rFonts w:ascii="Arial" w:hAnsi="Arial" w:cs="Arial"/>
        </w:rPr>
      </w:pPr>
    </w:p>
    <w:p w:rsidR="00960C8A" w:rsidRPr="0000398B" w:rsidRDefault="00960C8A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Exposure Update</w:t>
      </w:r>
    </w:p>
    <w:p w:rsidR="00267864" w:rsidRDefault="00845E3D" w:rsidP="000F4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Papudesi presented the monthly update on credit exposure. </w:t>
      </w:r>
      <w:r w:rsidR="000F45B9">
        <w:rPr>
          <w:rFonts w:ascii="Arial" w:hAnsi="Arial" w:cs="Arial"/>
        </w:rPr>
        <w:t xml:space="preserve">  </w:t>
      </w:r>
      <w:r w:rsidR="003A7CAE">
        <w:rPr>
          <w:rFonts w:ascii="Arial" w:hAnsi="Arial" w:cs="Arial"/>
        </w:rPr>
        <w:t xml:space="preserve">The group suggested </w:t>
      </w:r>
      <w:r w:rsidR="0002145A">
        <w:rPr>
          <w:rFonts w:ascii="Arial" w:hAnsi="Arial" w:cs="Arial"/>
        </w:rPr>
        <w:t>looking</w:t>
      </w:r>
      <w:r w:rsidR="001C2160">
        <w:rPr>
          <w:rFonts w:ascii="Arial" w:hAnsi="Arial" w:cs="Arial"/>
        </w:rPr>
        <w:t xml:space="preserve"> into</w:t>
      </w:r>
      <w:r w:rsidR="003A7CAE">
        <w:rPr>
          <w:rFonts w:ascii="Arial" w:hAnsi="Arial" w:cs="Arial"/>
        </w:rPr>
        <w:t xml:space="preserve"> how the independent capitalization requirements affect the collateral usage profile.  The group also suggested describing the collateral in excess of exposure as Discretionary </w:t>
      </w:r>
      <w:r w:rsidR="001C2160">
        <w:rPr>
          <w:rFonts w:ascii="Arial" w:hAnsi="Arial" w:cs="Arial"/>
        </w:rPr>
        <w:t>C</w:t>
      </w:r>
      <w:r w:rsidR="003A7CAE">
        <w:rPr>
          <w:rFonts w:ascii="Arial" w:hAnsi="Arial" w:cs="Arial"/>
        </w:rPr>
        <w:t>ollateral</w:t>
      </w:r>
      <w:r w:rsidR="006A4A08">
        <w:rPr>
          <w:rFonts w:ascii="Arial" w:hAnsi="Arial" w:cs="Arial"/>
        </w:rPr>
        <w:t xml:space="preserve"> as well as using alternative terminology in order to clearly present the charts.  </w:t>
      </w:r>
    </w:p>
    <w:p w:rsidR="00960C8A" w:rsidRDefault="00960C8A" w:rsidP="00F03EF2">
      <w:pPr>
        <w:jc w:val="both"/>
        <w:rPr>
          <w:rFonts w:ascii="Arial" w:hAnsi="Arial" w:cs="Arial"/>
        </w:rPr>
      </w:pPr>
    </w:p>
    <w:p w:rsidR="00A231BB" w:rsidRDefault="00A231BB" w:rsidP="00F03EF2">
      <w:pPr>
        <w:jc w:val="both"/>
        <w:rPr>
          <w:rFonts w:ascii="Arial" w:hAnsi="Arial" w:cs="Arial"/>
        </w:rPr>
      </w:pPr>
    </w:p>
    <w:p w:rsidR="004E3FA4" w:rsidRDefault="004E3FA4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6577A9">
        <w:rPr>
          <w:rFonts w:ascii="Arial" w:hAnsi="Arial" w:cs="Arial"/>
        </w:rPr>
        <w:t>10:</w:t>
      </w:r>
      <w:r w:rsidR="007831F1">
        <w:rPr>
          <w:rFonts w:ascii="Arial" w:hAnsi="Arial" w:cs="Arial"/>
        </w:rPr>
        <w:t>52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CC" w:rsidRDefault="00B552CC" w:rsidP="00EC412A">
      <w:r>
        <w:separator/>
      </w:r>
    </w:p>
  </w:endnote>
  <w:endnote w:type="continuationSeparator" w:id="0">
    <w:p w:rsidR="00B552CC" w:rsidRDefault="00B552CC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CC" w:rsidRDefault="00B552CC" w:rsidP="00EC412A">
      <w:r>
        <w:separator/>
      </w:r>
    </w:p>
  </w:footnote>
  <w:footnote w:type="continuationSeparator" w:id="0">
    <w:p w:rsidR="00B552CC" w:rsidRDefault="00B552CC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DB"/>
    <w:rsid w:val="0005048C"/>
    <w:rsid w:val="000505F5"/>
    <w:rsid w:val="00050B00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045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6C8D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AA8"/>
    <w:rsid w:val="002D0B46"/>
    <w:rsid w:val="002D1122"/>
    <w:rsid w:val="002D1270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5B49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F44"/>
    <w:rsid w:val="00742FAF"/>
    <w:rsid w:val="00744483"/>
    <w:rsid w:val="007447EA"/>
    <w:rsid w:val="00744B39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27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5200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B30"/>
    <w:rsid w:val="00BD2F8B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996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2E6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23C8-C267-4C6F-8FAB-764B7124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2018-12-12T15:10:00Z</cp:lastPrinted>
  <dcterms:created xsi:type="dcterms:W3CDTF">2019-01-16T16:54:00Z</dcterms:created>
  <dcterms:modified xsi:type="dcterms:W3CDTF">2019-01-16T16:54:00Z</dcterms:modified>
</cp:coreProperties>
</file>