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345"/>
        <w:gridCol w:w="8005"/>
      </w:tblGrid>
      <w:tr w:rsidR="005C0961" w14:paraId="39A3F9F5" w14:textId="77777777" w:rsidTr="00EF0C26">
        <w:tc>
          <w:tcPr>
            <w:tcW w:w="1345" w:type="dxa"/>
          </w:tcPr>
          <w:p w14:paraId="16E63382" w14:textId="77777777" w:rsidR="005C0961" w:rsidRDefault="00160D9C">
            <w:bookmarkStart w:id="0" w:name="_GoBack"/>
            <w:bookmarkEnd w:id="0"/>
            <w:r>
              <w:t>NPRR850</w:t>
            </w:r>
          </w:p>
        </w:tc>
        <w:tc>
          <w:tcPr>
            <w:tcW w:w="8005" w:type="dxa"/>
          </w:tcPr>
          <w:p w14:paraId="1852C032" w14:textId="77777777" w:rsidR="005C0961" w:rsidRDefault="005C0961"/>
        </w:tc>
      </w:tr>
      <w:tr w:rsidR="005C0961" w14:paraId="53816B46" w14:textId="77777777" w:rsidTr="00EF0C26">
        <w:tc>
          <w:tcPr>
            <w:tcW w:w="1345" w:type="dxa"/>
          </w:tcPr>
          <w:p w14:paraId="62B903E5" w14:textId="77777777" w:rsidR="005C0961" w:rsidRDefault="003506CB">
            <w:r>
              <w:t>25.5.1</w:t>
            </w:r>
          </w:p>
        </w:tc>
        <w:tc>
          <w:tcPr>
            <w:tcW w:w="8005" w:type="dxa"/>
          </w:tcPr>
          <w:p w14:paraId="6ED74480" w14:textId="77777777" w:rsidR="005C0961" w:rsidRDefault="003506CB">
            <w:r>
              <w:t>25.5.1(1) – Suggest to add clarification that only (a) shall be settled and paid during Market Suspension.  (b)-(h) will wait till after Market Restart.</w:t>
            </w:r>
          </w:p>
          <w:p w14:paraId="536BDA4F" w14:textId="77777777" w:rsidR="003506CB" w:rsidRDefault="003506CB"/>
          <w:p w14:paraId="6BA2F39F" w14:textId="77777777" w:rsidR="003506CB" w:rsidRDefault="003506CB">
            <w:r>
              <w:t>25.5.1(2) – Suggest to remove (d)</w:t>
            </w:r>
          </w:p>
          <w:p w14:paraId="6568FC51" w14:textId="77777777" w:rsidR="003506CB" w:rsidRDefault="003506CB"/>
          <w:p w14:paraId="07A49C73" w14:textId="77777777" w:rsidR="003506CB" w:rsidRDefault="000B43D8">
            <w:r>
              <w:t>25.5.1(6) – Suggest to reconcile with (1) and (2).  Items currently listed in (6) are not a complete list.</w:t>
            </w:r>
          </w:p>
          <w:p w14:paraId="5112A644" w14:textId="77777777" w:rsidR="003506CB" w:rsidRDefault="003506CB"/>
        </w:tc>
      </w:tr>
      <w:tr w:rsidR="005C0961" w14:paraId="7D24254C" w14:textId="77777777" w:rsidTr="00EF0C26">
        <w:tc>
          <w:tcPr>
            <w:tcW w:w="1345" w:type="dxa"/>
          </w:tcPr>
          <w:p w14:paraId="26FD3DD7" w14:textId="77777777" w:rsidR="00EF0C26" w:rsidRDefault="00EF0C26" w:rsidP="00EF0C26">
            <w:r>
              <w:t xml:space="preserve">25.5.2(1) </w:t>
            </w:r>
          </w:p>
          <w:p w14:paraId="5C3A19AD" w14:textId="77777777" w:rsidR="005C0961" w:rsidRDefault="005C0961"/>
        </w:tc>
        <w:tc>
          <w:tcPr>
            <w:tcW w:w="8005" w:type="dxa"/>
          </w:tcPr>
          <w:p w14:paraId="3BF7E102" w14:textId="77777777" w:rsidR="00E94348" w:rsidRDefault="00E94348">
            <w:r w:rsidRPr="0086627E">
              <w:t>MS</w:t>
            </w:r>
            <w:r>
              <w:t>SU</w:t>
            </w:r>
            <w:r w:rsidRPr="0086627E">
              <w:t>CADJ</w:t>
            </w:r>
            <w:r w:rsidRPr="0086627E">
              <w:rPr>
                <w:i/>
                <w:vertAlign w:val="subscript"/>
              </w:rPr>
              <w:t xml:space="preserve"> </w:t>
            </w:r>
            <w:proofErr w:type="spellStart"/>
            <w:r w:rsidRPr="0086627E">
              <w:rPr>
                <w:i/>
                <w:vertAlign w:val="subscript"/>
              </w:rPr>
              <w:t>q,r,d</w:t>
            </w:r>
            <w:proofErr w:type="spellEnd"/>
            <w:r>
              <w:rPr>
                <w:i/>
                <w:vertAlign w:val="subscript"/>
              </w:rPr>
              <w:t xml:space="preserve"> </w:t>
            </w:r>
            <w:r>
              <w:t xml:space="preserve"> MSOC</w:t>
            </w:r>
            <w:r w:rsidRPr="0086627E">
              <w:t>ADJ</w:t>
            </w:r>
            <w:r w:rsidRPr="0086627E">
              <w:rPr>
                <w:i/>
                <w:vertAlign w:val="subscript"/>
              </w:rPr>
              <w:t xml:space="preserve"> </w:t>
            </w:r>
            <w:proofErr w:type="spellStart"/>
            <w:r w:rsidRPr="0086627E">
              <w:rPr>
                <w:i/>
                <w:vertAlign w:val="subscript"/>
              </w:rPr>
              <w:t>q,r,d</w:t>
            </w:r>
            <w:proofErr w:type="spellEnd"/>
          </w:p>
          <w:p w14:paraId="2F7FD76E" w14:textId="77777777" w:rsidR="00E94348" w:rsidRDefault="00E94348">
            <w:r>
              <w:t>Need clarification on “Adjustment”, at least at high level:</w:t>
            </w:r>
          </w:p>
          <w:p w14:paraId="5678584C" w14:textId="77777777" w:rsidR="00E94348" w:rsidRDefault="00E94348" w:rsidP="00E94348">
            <w:pPr>
              <w:pStyle w:val="ListParagraph"/>
              <w:numPr>
                <w:ilvl w:val="0"/>
                <w:numId w:val="1"/>
              </w:numPr>
            </w:pPr>
            <w:r>
              <w:t>Adjustment for what?  Amount difference based on actual verifiable costs?</w:t>
            </w:r>
            <w:r w:rsidR="00AC7FD0">
              <w:t xml:space="preserve">  But adjustment based on verifiable costs is already covered by RVOMS and ROM.</w:t>
            </w:r>
          </w:p>
          <w:p w14:paraId="61E0446F" w14:textId="77777777" w:rsidR="00E94348" w:rsidRDefault="00DF08E1" w:rsidP="00E94348">
            <w:pPr>
              <w:pStyle w:val="ListParagraph"/>
              <w:numPr>
                <w:ilvl w:val="0"/>
                <w:numId w:val="1"/>
              </w:numPr>
            </w:pPr>
            <w:r>
              <w:t>When</w:t>
            </w:r>
            <w:r w:rsidR="009266C3">
              <w:t xml:space="preserve"> to adjust</w:t>
            </w:r>
            <w:r>
              <w:t>?  Will</w:t>
            </w:r>
            <w:r w:rsidR="00E94348">
              <w:t xml:space="preserve"> these variables</w:t>
            </w:r>
            <w:r>
              <w:t xml:space="preserve"> be</w:t>
            </w:r>
            <w:r w:rsidR="00E94348">
              <w:t xml:space="preserve"> used in initial settlement, or only for </w:t>
            </w:r>
            <w:r>
              <w:t>payment reconciliation</w:t>
            </w:r>
            <w:r w:rsidR="00E94348">
              <w:t>?</w:t>
            </w:r>
          </w:p>
          <w:p w14:paraId="73AE3495" w14:textId="77777777" w:rsidR="00E94348" w:rsidRDefault="00E94348"/>
        </w:tc>
      </w:tr>
      <w:tr w:rsidR="005C0961" w14:paraId="06075BCC" w14:textId="77777777" w:rsidTr="00EF0C26">
        <w:tc>
          <w:tcPr>
            <w:tcW w:w="1345" w:type="dxa"/>
          </w:tcPr>
          <w:p w14:paraId="6EB7C779" w14:textId="77777777" w:rsidR="005255C4" w:rsidRDefault="005255C4" w:rsidP="005255C4">
            <w:r>
              <w:t xml:space="preserve">25.5.2(1) </w:t>
            </w:r>
          </w:p>
          <w:p w14:paraId="1B6C5855" w14:textId="77777777" w:rsidR="005C0961" w:rsidRDefault="005C0961"/>
        </w:tc>
        <w:tc>
          <w:tcPr>
            <w:tcW w:w="8005" w:type="dxa"/>
          </w:tcPr>
          <w:p w14:paraId="26857399" w14:textId="77777777" w:rsidR="005C0961" w:rsidRDefault="00EF0C26">
            <w:pPr>
              <w:rPr>
                <w:i/>
                <w:vertAlign w:val="subscript"/>
              </w:rPr>
            </w:pPr>
            <w:r w:rsidRPr="0086627E">
              <w:rPr>
                <w:bCs/>
              </w:rPr>
              <w:t>MSAVGFP</w:t>
            </w:r>
            <w:r w:rsidRPr="0086627E">
              <w:rPr>
                <w:bCs/>
                <w:i/>
                <w:vertAlign w:val="subscript"/>
              </w:rPr>
              <w:t xml:space="preserve"> j</w:t>
            </w:r>
            <w:r>
              <w:rPr>
                <w:bCs/>
                <w:i/>
                <w:vertAlign w:val="subscript"/>
              </w:rPr>
              <w:t xml:space="preserve">   </w:t>
            </w:r>
            <w:r w:rsidRPr="0086627E">
              <w:rPr>
                <w:iCs/>
              </w:rPr>
              <w:t>MSAVGFIP</w:t>
            </w:r>
            <w:r w:rsidRPr="0086627E">
              <w:rPr>
                <w:i/>
                <w:vertAlign w:val="subscript"/>
              </w:rPr>
              <w:t xml:space="preserve"> j</w:t>
            </w:r>
            <w:r>
              <w:rPr>
                <w:i/>
                <w:vertAlign w:val="subscript"/>
              </w:rPr>
              <w:t xml:space="preserve">  </w:t>
            </w:r>
            <w:r w:rsidRPr="0086627E">
              <w:rPr>
                <w:iCs/>
              </w:rPr>
              <w:t>MSAVGFOP</w:t>
            </w:r>
            <w:r w:rsidRPr="0086627E">
              <w:rPr>
                <w:i/>
                <w:vertAlign w:val="subscript"/>
              </w:rPr>
              <w:t xml:space="preserve"> j</w:t>
            </w:r>
          </w:p>
          <w:p w14:paraId="68B06954" w14:textId="77777777" w:rsidR="00EF0C26" w:rsidRDefault="00EF0C26">
            <w:r>
              <w:t>What is j?</w:t>
            </w:r>
          </w:p>
          <w:p w14:paraId="52C5B6EC" w14:textId="77777777" w:rsidR="004B3BA7" w:rsidRPr="00EF0C26" w:rsidRDefault="004B3BA7"/>
        </w:tc>
      </w:tr>
      <w:tr w:rsidR="004B3BA7" w14:paraId="49D3F049" w14:textId="77777777" w:rsidTr="00EF0C26">
        <w:tc>
          <w:tcPr>
            <w:tcW w:w="1345" w:type="dxa"/>
          </w:tcPr>
          <w:p w14:paraId="63594F57" w14:textId="77777777" w:rsidR="005255C4" w:rsidRDefault="005255C4" w:rsidP="005255C4">
            <w:r>
              <w:t xml:space="preserve">25.5.2(1) </w:t>
            </w:r>
          </w:p>
          <w:p w14:paraId="74459937" w14:textId="77777777" w:rsidR="004B3BA7" w:rsidRDefault="004B3BA7"/>
        </w:tc>
        <w:tc>
          <w:tcPr>
            <w:tcW w:w="8005" w:type="dxa"/>
          </w:tcPr>
          <w:p w14:paraId="2D13C04D" w14:textId="77777777" w:rsidR="004B3BA7" w:rsidRDefault="004B3BA7">
            <w:pPr>
              <w:rPr>
                <w:bCs/>
              </w:rPr>
            </w:pPr>
            <w:r>
              <w:rPr>
                <w:bCs/>
              </w:rPr>
              <w:t>Definition for t:  Market Suspension Cost Guarantee is not defined.</w:t>
            </w:r>
          </w:p>
          <w:p w14:paraId="69C52469" w14:textId="77777777" w:rsidR="004B3BA7" w:rsidRDefault="004B3BA7">
            <w:pPr>
              <w:rPr>
                <w:bCs/>
              </w:rPr>
            </w:pPr>
          </w:p>
          <w:p w14:paraId="4B12B333" w14:textId="77777777" w:rsidR="004B3BA7" w:rsidRDefault="004B3BA7">
            <w:pPr>
              <w:rPr>
                <w:bCs/>
              </w:rPr>
            </w:pPr>
            <w:r>
              <w:rPr>
                <w:noProof/>
              </w:rPr>
              <w:drawing>
                <wp:inline distT="0" distB="0" distL="0" distR="0" wp14:anchorId="0E9406E6" wp14:editId="5FD95C67">
                  <wp:extent cx="4946015" cy="2654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46015" cy="265430"/>
                          </a:xfrm>
                          <a:prstGeom prst="rect">
                            <a:avLst/>
                          </a:prstGeom>
                        </pic:spPr>
                      </pic:pic>
                    </a:graphicData>
                  </a:graphic>
                </wp:inline>
              </w:drawing>
            </w:r>
          </w:p>
          <w:p w14:paraId="27718A50" w14:textId="77777777" w:rsidR="004B3BA7" w:rsidRPr="0086627E" w:rsidRDefault="004B3BA7">
            <w:pPr>
              <w:rPr>
                <w:bCs/>
              </w:rPr>
            </w:pPr>
          </w:p>
        </w:tc>
      </w:tr>
      <w:tr w:rsidR="005C0961" w14:paraId="2F77D87E" w14:textId="77777777" w:rsidTr="00EF0C26">
        <w:tc>
          <w:tcPr>
            <w:tcW w:w="1345" w:type="dxa"/>
          </w:tcPr>
          <w:p w14:paraId="62B5F676" w14:textId="77777777" w:rsidR="005C0961" w:rsidRDefault="00EF0C26">
            <w:r>
              <w:t>25.5.5(2)(b)</w:t>
            </w:r>
          </w:p>
        </w:tc>
        <w:tc>
          <w:tcPr>
            <w:tcW w:w="8005" w:type="dxa"/>
          </w:tcPr>
          <w:p w14:paraId="79BCF3D1" w14:textId="77777777" w:rsidR="005C0961" w:rsidRPr="00EF0C26" w:rsidRDefault="005C0961">
            <w:r w:rsidRPr="00EF0C26">
              <w:t>One left parenthesis missing</w:t>
            </w:r>
          </w:p>
          <w:p w14:paraId="60E288CB" w14:textId="77777777" w:rsidR="005C0961" w:rsidRDefault="006E6705">
            <w:r>
              <w:rPr>
                <w:noProof/>
              </w:rPr>
              <w:drawing>
                <wp:inline distT="0" distB="0" distL="0" distR="0" wp14:anchorId="30BAB3C2" wp14:editId="058EF93D">
                  <wp:extent cx="4946015" cy="2052955"/>
                  <wp:effectExtent l="0" t="0" r="698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46015" cy="2052955"/>
                          </a:xfrm>
                          <a:prstGeom prst="rect">
                            <a:avLst/>
                          </a:prstGeom>
                        </pic:spPr>
                      </pic:pic>
                    </a:graphicData>
                  </a:graphic>
                </wp:inline>
              </w:drawing>
            </w:r>
          </w:p>
          <w:p w14:paraId="6DA6B4ED" w14:textId="77777777" w:rsidR="005C0961" w:rsidRDefault="005C0961"/>
        </w:tc>
      </w:tr>
      <w:tr w:rsidR="005C0961" w14:paraId="23036B08" w14:textId="77777777" w:rsidTr="00EF0C26">
        <w:tc>
          <w:tcPr>
            <w:tcW w:w="1345" w:type="dxa"/>
          </w:tcPr>
          <w:p w14:paraId="23B91EEF" w14:textId="77777777" w:rsidR="005C0961" w:rsidRDefault="00994C1F">
            <w:r>
              <w:t>25.5.5(2)(a)</w:t>
            </w:r>
          </w:p>
          <w:p w14:paraId="0FE48367" w14:textId="77777777" w:rsidR="00994C1F" w:rsidRDefault="00994C1F">
            <w:r>
              <w:t>25.5.5(2)(b)</w:t>
            </w:r>
          </w:p>
        </w:tc>
        <w:tc>
          <w:tcPr>
            <w:tcW w:w="8005" w:type="dxa"/>
          </w:tcPr>
          <w:p w14:paraId="4C91D252" w14:textId="77777777" w:rsidR="005C0961" w:rsidRDefault="00994C1F">
            <w:pPr>
              <w:rPr>
                <w:color w:val="1F497D"/>
              </w:rPr>
            </w:pPr>
            <w:r>
              <w:rPr>
                <w:color w:val="1F497D"/>
              </w:rPr>
              <w:t>Instead of “The initial/resettled Market Suspension Charge is calculated as follows”, it should be “The initial/resettled Market Suspension Charge</w:t>
            </w:r>
            <w:r>
              <w:t xml:space="preserve"> </w:t>
            </w:r>
            <w:r>
              <w:rPr>
                <w:color w:val="FF0000"/>
              </w:rPr>
              <w:t xml:space="preserve">to each QSE for a given Operating Day </w:t>
            </w:r>
            <w:r>
              <w:rPr>
                <w:color w:val="1F497D"/>
              </w:rPr>
              <w:t>during a Market</w:t>
            </w:r>
            <w:r>
              <w:t xml:space="preserve"> </w:t>
            </w:r>
            <w:r>
              <w:rPr>
                <w:color w:val="1F497D"/>
              </w:rPr>
              <w:t>Suspension event is calculated as follows”.</w:t>
            </w:r>
          </w:p>
          <w:p w14:paraId="113E6DB5" w14:textId="77777777" w:rsidR="00994C1F" w:rsidRDefault="00994C1F"/>
        </w:tc>
      </w:tr>
      <w:tr w:rsidR="005C0961" w14:paraId="4FB84D32" w14:textId="77777777" w:rsidTr="00EF0C26">
        <w:tc>
          <w:tcPr>
            <w:tcW w:w="1345" w:type="dxa"/>
          </w:tcPr>
          <w:p w14:paraId="552DE72C" w14:textId="77777777" w:rsidR="005C0961" w:rsidRDefault="00BC24F2">
            <w:r>
              <w:t>25.5.5(2)(b)</w:t>
            </w:r>
          </w:p>
        </w:tc>
        <w:tc>
          <w:tcPr>
            <w:tcW w:w="8005" w:type="dxa"/>
          </w:tcPr>
          <w:p w14:paraId="5D0A77F2" w14:textId="77777777" w:rsidR="005C0961" w:rsidRDefault="0066284B" w:rsidP="0066284B">
            <w:r>
              <w:t>The Market Suspension Charge will be resettled for actual Load data submitted to ERCOT.  ERCOT said they expect to have actual or TDSP estimated data for settlement.  Suggest to add “or TDSP estimated Load data” the language.</w:t>
            </w:r>
          </w:p>
          <w:p w14:paraId="75A86D81" w14:textId="77777777" w:rsidR="0066284B" w:rsidRDefault="0066284B" w:rsidP="0066284B">
            <w:r>
              <w:t>Also, what if some actual load data never becomes available?  (Out of MSWG scope)</w:t>
            </w:r>
          </w:p>
          <w:p w14:paraId="597DF1F6" w14:textId="77777777" w:rsidR="00C2334E" w:rsidRDefault="00C2334E" w:rsidP="0066284B"/>
        </w:tc>
      </w:tr>
      <w:tr w:rsidR="0010687F" w14:paraId="2C45CCBC" w14:textId="77777777" w:rsidTr="00EF0C26">
        <w:tc>
          <w:tcPr>
            <w:tcW w:w="1345" w:type="dxa"/>
          </w:tcPr>
          <w:p w14:paraId="6C766767" w14:textId="77777777" w:rsidR="0010687F" w:rsidRDefault="00E34378">
            <w:r>
              <w:lastRenderedPageBreak/>
              <w:t>25.5.5(2)(b)</w:t>
            </w:r>
          </w:p>
        </w:tc>
        <w:tc>
          <w:tcPr>
            <w:tcW w:w="8005" w:type="dxa"/>
          </w:tcPr>
          <w:p w14:paraId="1569DE5F" w14:textId="77777777" w:rsidR="0010687F" w:rsidRDefault="006E6705" w:rsidP="0066284B">
            <w:r>
              <w:t xml:space="preserve">The most recent </w:t>
            </w:r>
            <w:proofErr w:type="gramStart"/>
            <w:r>
              <w:t>30 day</w:t>
            </w:r>
            <w:proofErr w:type="gramEnd"/>
            <w:r>
              <w:t xml:space="preserve"> LRS prior to th</w:t>
            </w:r>
            <w:r w:rsidR="00C2334E">
              <w:t xml:space="preserve">e MS event </w:t>
            </w:r>
            <w:r w:rsidR="00C2334E" w:rsidRPr="00D36F7C">
              <w:t xml:space="preserve">will continue to be used to allocate </w:t>
            </w:r>
            <w:r w:rsidR="00C2334E">
              <w:t>S</w:t>
            </w:r>
            <w:r w:rsidR="00C2334E" w:rsidRPr="00D36F7C">
              <w:t xml:space="preserve">tartup </w:t>
            </w:r>
            <w:r w:rsidR="00C2334E">
              <w:t>C</w:t>
            </w:r>
            <w:r w:rsidR="00C2334E" w:rsidRPr="00D36F7C">
              <w:t>osts and standby payments for RMR</w:t>
            </w:r>
            <w:r w:rsidR="00C2334E">
              <w:t xml:space="preserve"> Units</w:t>
            </w:r>
            <w:r w:rsidR="00C2334E" w:rsidRPr="00D36F7C">
              <w:t xml:space="preserve"> and Black Start </w:t>
            </w:r>
            <w:r w:rsidR="00C2334E">
              <w:t>R</w:t>
            </w:r>
            <w:r w:rsidR="00C2334E" w:rsidRPr="00D36F7C">
              <w:t>esources</w:t>
            </w:r>
            <w:r w:rsidR="00C2334E">
              <w:t>.</w:t>
            </w:r>
          </w:p>
          <w:p w14:paraId="1984910B" w14:textId="77777777" w:rsidR="00C2334E" w:rsidRDefault="00C2334E" w:rsidP="00C2334E">
            <w:pPr>
              <w:spacing w:before="120"/>
            </w:pPr>
            <w:r>
              <w:rPr>
                <w:color w:val="1F497D"/>
              </w:rPr>
              <w:t xml:space="preserve">The market might have been functioning erroneously for some time before market suspension is declared.  It might be problematic to use data from the most recent 30 days prior to the Market Suspension event.  If the assumption is to use data from the most recent 30 good market days prior to Market Suspension, then there would be a gap between “∑d30” and the start of Market Suspension”, and protocol language should be provided for the settlement of that period.  The definition of </w:t>
            </w:r>
            <w:proofErr w:type="spellStart"/>
            <w:r>
              <w:rPr>
                <w:color w:val="1F497D"/>
              </w:rPr>
              <w:t>RTMSLRSq</w:t>
            </w:r>
            <w:proofErr w:type="spellEnd"/>
            <w:r>
              <w:rPr>
                <w:color w:val="1F497D"/>
              </w:rPr>
              <w:t xml:space="preserve"> also needs to be revised to reflect a potential gap between “∑d30” and the start of “market suspension”.</w:t>
            </w:r>
          </w:p>
          <w:p w14:paraId="0DBD251F" w14:textId="77777777" w:rsidR="00C2334E" w:rsidRDefault="00C2334E" w:rsidP="00C2334E">
            <w:r>
              <w:rPr>
                <w:color w:val="FF0000"/>
              </w:rPr>
              <w:t xml:space="preserve">Because we have a true up process for this and because charges are allocated on a load basis the expectation </w:t>
            </w:r>
            <w:proofErr w:type="gramStart"/>
            <w:r>
              <w:rPr>
                <w:color w:val="FF0000"/>
              </w:rPr>
              <w:t>is</w:t>
            </w:r>
            <w:proofErr w:type="gramEnd"/>
            <w:r>
              <w:rPr>
                <w:color w:val="FF0000"/>
              </w:rPr>
              <w:t xml:space="preserve"> we will have actual or TDSP estimated data for settlement. We should have good data but I’m not sure to what extent market issues would create load consumption issues (I’m sure none of us can think of all the possible scenarios). If we went with “good” days I think there would need to be a proposal and possibly some conversation in the stakeholder groups on how to define that period. If you want to bounce any language off of us we are happy to think about it</w:t>
            </w:r>
          </w:p>
        </w:tc>
      </w:tr>
    </w:tbl>
    <w:p w14:paraId="0CCC242A" w14:textId="77777777" w:rsidR="000958CA" w:rsidRDefault="000958CA"/>
    <w:sectPr w:rsidR="00095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F0589"/>
    <w:multiLevelType w:val="hybridMultilevel"/>
    <w:tmpl w:val="296C7C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7D3951AF"/>
    <w:multiLevelType w:val="hybridMultilevel"/>
    <w:tmpl w:val="F3C0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wsTQ0szA0NTYwNLJQ0lEKTi0uzszPAykwrAUAwn6lGiwAAAA="/>
  </w:docVars>
  <w:rsids>
    <w:rsidRoot w:val="0099177E"/>
    <w:rsid w:val="000846CE"/>
    <w:rsid w:val="000958CA"/>
    <w:rsid w:val="000B43D8"/>
    <w:rsid w:val="0010687F"/>
    <w:rsid w:val="001533A2"/>
    <w:rsid w:val="00160D9C"/>
    <w:rsid w:val="00202F78"/>
    <w:rsid w:val="003506CB"/>
    <w:rsid w:val="003C63A9"/>
    <w:rsid w:val="004B3BA7"/>
    <w:rsid w:val="005255C4"/>
    <w:rsid w:val="005C0961"/>
    <w:rsid w:val="0066284B"/>
    <w:rsid w:val="006E6705"/>
    <w:rsid w:val="009266C3"/>
    <w:rsid w:val="0099177E"/>
    <w:rsid w:val="00994C1F"/>
    <w:rsid w:val="00AC7FD0"/>
    <w:rsid w:val="00BC24F2"/>
    <w:rsid w:val="00C2334E"/>
    <w:rsid w:val="00DF08E1"/>
    <w:rsid w:val="00E040AC"/>
    <w:rsid w:val="00E34378"/>
    <w:rsid w:val="00E94348"/>
    <w:rsid w:val="00EF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11D5"/>
  <w15:chartTrackingRefBased/>
  <w15:docId w15:val="{40E3BCB9-8975-4F74-BC1E-0810C44C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348"/>
    <w:pPr>
      <w:ind w:left="720"/>
      <w:contextualSpacing/>
    </w:pPr>
  </w:style>
  <w:style w:type="paragraph" w:styleId="Revision">
    <w:name w:val="Revision"/>
    <w:hidden/>
    <w:uiPriority w:val="99"/>
    <w:semiHidden/>
    <w:rsid w:val="00C2334E"/>
    <w:pPr>
      <w:spacing w:after="0" w:line="240" w:lineRule="auto"/>
    </w:pPr>
  </w:style>
  <w:style w:type="paragraph" w:styleId="BalloonText">
    <w:name w:val="Balloon Text"/>
    <w:basedOn w:val="Normal"/>
    <w:link w:val="BalloonTextChar"/>
    <w:uiPriority w:val="99"/>
    <w:semiHidden/>
    <w:unhideWhenUsed/>
    <w:rsid w:val="00C23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16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Austin Energy</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Teng, Shuye</dc:creator>
  <cp:keywords/>
  <dc:description/>
  <cp:lastModifiedBy>Heddie Lookadoo</cp:lastModifiedBy>
  <cp:revision>2</cp:revision>
  <dcterms:created xsi:type="dcterms:W3CDTF">2018-12-12T00:46:00Z</dcterms:created>
  <dcterms:modified xsi:type="dcterms:W3CDTF">2018-12-12T00:46:00Z</dcterms:modified>
</cp:coreProperties>
</file>