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6214" w14:textId="77777777" w:rsidR="007E1410" w:rsidRPr="00854381" w:rsidRDefault="0022520B" w:rsidP="00585AD5">
      <w:pPr>
        <w:pStyle w:val="Header"/>
        <w:tabs>
          <w:tab w:val="clear" w:pos="4320"/>
          <w:tab w:val="clear" w:pos="8640"/>
          <w:tab w:val="center" w:pos="4680"/>
        </w:tabs>
        <w:suppressAutoHyphens/>
        <w:ind w:left="-630"/>
        <w:outlineLvl w:val="0"/>
        <w:rPr>
          <w:rFonts w:ascii="Arial" w:hAnsi="Arial" w:cs="Arial"/>
          <w:spacing w:val="-6"/>
          <w:sz w:val="48"/>
        </w:rPr>
      </w:pPr>
      <w:bookmarkStart w:id="0" w:name="_GoBack"/>
      <w:bookmarkEnd w:id="0"/>
      <w:r w:rsidRPr="00854381">
        <w:rPr>
          <w:rFonts w:ascii="Arial" w:hAnsi="Arial" w:cs="Arial"/>
          <w:noProof/>
        </w:rPr>
        <w:drawing>
          <wp:inline distT="0" distB="0" distL="0" distR="0" wp14:anchorId="7D7B5119" wp14:editId="7EE31E7E">
            <wp:extent cx="2419350" cy="1209675"/>
            <wp:effectExtent l="0" t="0" r="0" b="0"/>
            <wp:docPr id="1" name="Picture 1" descr="6x3 Full Color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x3 Full Color_NoTag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14:paraId="450A7880" w14:textId="77777777" w:rsidR="00585AD5" w:rsidRPr="00854381" w:rsidRDefault="00585AD5" w:rsidP="00585AD5">
      <w:pPr>
        <w:pStyle w:val="Heading5"/>
        <w:tabs>
          <w:tab w:val="clear" w:pos="-720"/>
          <w:tab w:val="center" w:pos="4680"/>
        </w:tabs>
        <w:ind w:left="-360" w:right="-468"/>
        <w:rPr>
          <w:rFonts w:ascii="Arial" w:hAnsi="Arial" w:cs="Arial"/>
          <w:sz w:val="56"/>
          <w:szCs w:val="56"/>
        </w:rPr>
      </w:pPr>
    </w:p>
    <w:p w14:paraId="3DBD9B2B" w14:textId="77777777" w:rsidR="00585AD5" w:rsidRPr="00854381" w:rsidRDefault="00585AD5" w:rsidP="00585AD5">
      <w:pPr>
        <w:pStyle w:val="Heading5"/>
        <w:tabs>
          <w:tab w:val="clear" w:pos="-720"/>
          <w:tab w:val="center" w:pos="4680"/>
        </w:tabs>
        <w:ind w:left="-360" w:right="-468"/>
        <w:rPr>
          <w:rFonts w:ascii="Arial" w:hAnsi="Arial" w:cs="Arial"/>
          <w:sz w:val="44"/>
          <w:szCs w:val="44"/>
        </w:rPr>
      </w:pPr>
    </w:p>
    <w:p w14:paraId="2DF6A434" w14:textId="77777777" w:rsidR="007E1410" w:rsidRPr="00854381" w:rsidRDefault="007E1410" w:rsidP="00585AD5">
      <w:pPr>
        <w:pStyle w:val="Heading5"/>
        <w:tabs>
          <w:tab w:val="clear" w:pos="-720"/>
          <w:tab w:val="center" w:pos="4680"/>
        </w:tabs>
        <w:ind w:left="-360" w:right="-468"/>
        <w:rPr>
          <w:rFonts w:ascii="Arial" w:hAnsi="Arial" w:cs="Arial"/>
          <w:sz w:val="44"/>
          <w:szCs w:val="44"/>
        </w:rPr>
      </w:pPr>
      <w:r w:rsidRPr="00854381">
        <w:rPr>
          <w:rFonts w:ascii="Arial" w:hAnsi="Arial" w:cs="Arial"/>
          <w:sz w:val="44"/>
          <w:szCs w:val="44"/>
        </w:rPr>
        <w:t>Electric Reliability Council of Texas</w:t>
      </w:r>
    </w:p>
    <w:p w14:paraId="6A0621B9" w14:textId="77777777" w:rsidR="007E1410" w:rsidRPr="00854381" w:rsidRDefault="007E1410">
      <w:pPr>
        <w:tabs>
          <w:tab w:val="left" w:pos="-720"/>
        </w:tabs>
        <w:suppressAutoHyphens/>
        <w:jc w:val="both"/>
        <w:rPr>
          <w:rFonts w:ascii="Arial" w:hAnsi="Arial" w:cs="Arial"/>
          <w:b/>
          <w:spacing w:val="-6"/>
          <w:sz w:val="44"/>
          <w:szCs w:val="44"/>
        </w:rPr>
      </w:pPr>
    </w:p>
    <w:p w14:paraId="0848B750" w14:textId="77777777" w:rsidR="00362D0D" w:rsidRPr="00854381" w:rsidRDefault="00362D0D">
      <w:pPr>
        <w:tabs>
          <w:tab w:val="left" w:pos="-720"/>
        </w:tabs>
        <w:suppressAutoHyphens/>
        <w:jc w:val="both"/>
        <w:rPr>
          <w:rFonts w:ascii="Arial" w:hAnsi="Arial" w:cs="Arial"/>
          <w:b/>
          <w:spacing w:val="-6"/>
          <w:sz w:val="44"/>
          <w:szCs w:val="44"/>
        </w:rPr>
      </w:pPr>
    </w:p>
    <w:p w14:paraId="68AD2A43" w14:textId="77777777" w:rsidR="00362D0D" w:rsidRPr="00854381" w:rsidRDefault="00362D0D">
      <w:pPr>
        <w:tabs>
          <w:tab w:val="left" w:pos="-720"/>
        </w:tabs>
        <w:suppressAutoHyphens/>
        <w:jc w:val="both"/>
        <w:rPr>
          <w:rFonts w:ascii="Arial" w:hAnsi="Arial" w:cs="Arial"/>
          <w:b/>
          <w:spacing w:val="-6"/>
          <w:sz w:val="44"/>
          <w:szCs w:val="44"/>
        </w:rPr>
      </w:pPr>
    </w:p>
    <w:p w14:paraId="563B4101" w14:textId="77777777" w:rsidR="001B6241" w:rsidRPr="00854381" w:rsidRDefault="0011555E" w:rsidP="001B6241">
      <w:pPr>
        <w:tabs>
          <w:tab w:val="left" w:pos="-720"/>
        </w:tabs>
        <w:suppressAutoHyphens/>
        <w:jc w:val="center"/>
        <w:rPr>
          <w:rFonts w:ascii="Arial" w:hAnsi="Arial" w:cs="Arial"/>
          <w:b/>
          <w:spacing w:val="-6"/>
          <w:sz w:val="44"/>
          <w:szCs w:val="44"/>
        </w:rPr>
      </w:pPr>
      <w:r w:rsidRPr="00854381">
        <w:rPr>
          <w:rFonts w:ascii="Arial" w:hAnsi="Arial" w:cs="Arial"/>
          <w:b/>
          <w:spacing w:val="-6"/>
          <w:sz w:val="44"/>
          <w:szCs w:val="44"/>
        </w:rPr>
        <w:t>Human Performance Improvement</w:t>
      </w:r>
      <w:r w:rsidR="009F71EB" w:rsidRPr="00854381">
        <w:rPr>
          <w:rFonts w:ascii="Arial" w:hAnsi="Arial" w:cs="Arial"/>
          <w:b/>
          <w:spacing w:val="-6"/>
          <w:sz w:val="44"/>
          <w:szCs w:val="44"/>
        </w:rPr>
        <w:t xml:space="preserve"> Task Force</w:t>
      </w:r>
    </w:p>
    <w:p w14:paraId="3A399616" w14:textId="77777777" w:rsidR="007E1410" w:rsidRPr="00854381" w:rsidRDefault="007E1410">
      <w:pPr>
        <w:tabs>
          <w:tab w:val="left" w:pos="-720"/>
        </w:tabs>
        <w:suppressAutoHyphens/>
        <w:jc w:val="both"/>
        <w:rPr>
          <w:rFonts w:ascii="Arial" w:hAnsi="Arial" w:cs="Arial"/>
          <w:b/>
          <w:spacing w:val="-6"/>
          <w:sz w:val="44"/>
          <w:szCs w:val="44"/>
        </w:rPr>
      </w:pPr>
    </w:p>
    <w:p w14:paraId="4E3F91D9" w14:textId="77777777" w:rsidR="00DF0E4F" w:rsidRPr="00854381" w:rsidRDefault="00DF0E4F" w:rsidP="00DF0E4F">
      <w:pPr>
        <w:rPr>
          <w:rFonts w:ascii="Arial" w:hAnsi="Arial" w:cs="Arial"/>
          <w:sz w:val="44"/>
          <w:szCs w:val="44"/>
        </w:rPr>
      </w:pPr>
    </w:p>
    <w:p w14:paraId="77CB1316" w14:textId="77777777" w:rsidR="007E1410" w:rsidRPr="00854381" w:rsidRDefault="007E1410">
      <w:pPr>
        <w:tabs>
          <w:tab w:val="left" w:pos="-720"/>
        </w:tabs>
        <w:suppressAutoHyphens/>
        <w:jc w:val="both"/>
        <w:rPr>
          <w:rFonts w:ascii="Arial" w:hAnsi="Arial" w:cs="Arial"/>
          <w:b/>
          <w:spacing w:val="-6"/>
          <w:sz w:val="44"/>
          <w:szCs w:val="44"/>
        </w:rPr>
      </w:pPr>
    </w:p>
    <w:p w14:paraId="44A82A5A" w14:textId="77777777" w:rsidR="003359EE" w:rsidRPr="00854381" w:rsidRDefault="003359EE">
      <w:pPr>
        <w:tabs>
          <w:tab w:val="left" w:pos="-720"/>
        </w:tabs>
        <w:suppressAutoHyphens/>
        <w:jc w:val="both"/>
        <w:rPr>
          <w:rFonts w:ascii="Arial" w:hAnsi="Arial" w:cs="Arial"/>
          <w:b/>
          <w:spacing w:val="-6"/>
          <w:sz w:val="44"/>
          <w:szCs w:val="44"/>
        </w:rPr>
      </w:pPr>
    </w:p>
    <w:p w14:paraId="026DA62D" w14:textId="77777777" w:rsidR="007E1410" w:rsidRPr="00854381" w:rsidRDefault="00362D0D">
      <w:pPr>
        <w:tabs>
          <w:tab w:val="center" w:pos="4680"/>
        </w:tabs>
        <w:suppressAutoHyphens/>
        <w:jc w:val="center"/>
        <w:rPr>
          <w:rFonts w:ascii="Arial" w:hAnsi="Arial" w:cs="Arial"/>
          <w:b/>
          <w:spacing w:val="-6"/>
          <w:sz w:val="44"/>
          <w:szCs w:val="44"/>
        </w:rPr>
      </w:pPr>
      <w:r w:rsidRPr="00854381">
        <w:rPr>
          <w:rFonts w:ascii="Arial" w:hAnsi="Arial" w:cs="Arial"/>
          <w:b/>
          <w:spacing w:val="-6"/>
          <w:sz w:val="44"/>
          <w:szCs w:val="44"/>
        </w:rPr>
        <w:t xml:space="preserve">ROS Approved: </w:t>
      </w:r>
      <w:r w:rsidR="0011555E" w:rsidRPr="00854381">
        <w:rPr>
          <w:rFonts w:ascii="Arial" w:hAnsi="Arial" w:cs="Arial"/>
          <w:b/>
          <w:spacing w:val="-6"/>
          <w:sz w:val="44"/>
          <w:szCs w:val="44"/>
        </w:rPr>
        <w:t>[ Date ]</w:t>
      </w:r>
    </w:p>
    <w:p w14:paraId="438CB9E7" w14:textId="77777777" w:rsidR="007E1410" w:rsidRPr="00854381" w:rsidRDefault="007E1410">
      <w:pPr>
        <w:tabs>
          <w:tab w:val="center" w:pos="4680"/>
        </w:tabs>
        <w:suppressAutoHyphens/>
        <w:jc w:val="center"/>
        <w:rPr>
          <w:rFonts w:ascii="Arial" w:hAnsi="Arial" w:cs="Arial"/>
          <w:b/>
          <w:spacing w:val="-6"/>
          <w:sz w:val="48"/>
        </w:rPr>
      </w:pPr>
    </w:p>
    <w:p w14:paraId="08C4BD8C" w14:textId="77777777" w:rsidR="0043303E" w:rsidRPr="00854381" w:rsidRDefault="0043303E">
      <w:pPr>
        <w:tabs>
          <w:tab w:val="center" w:pos="4680"/>
        </w:tabs>
        <w:suppressAutoHyphens/>
        <w:jc w:val="center"/>
        <w:rPr>
          <w:rFonts w:ascii="Arial" w:hAnsi="Arial" w:cs="Arial"/>
          <w:b/>
          <w:spacing w:val="-6"/>
          <w:sz w:val="48"/>
        </w:rPr>
      </w:pPr>
    </w:p>
    <w:p w14:paraId="7EA85A2E" w14:textId="77777777" w:rsidR="0043303E" w:rsidRPr="00854381" w:rsidRDefault="0043303E">
      <w:pPr>
        <w:tabs>
          <w:tab w:val="center" w:pos="4680"/>
        </w:tabs>
        <w:suppressAutoHyphens/>
        <w:jc w:val="center"/>
        <w:rPr>
          <w:rFonts w:ascii="Arial" w:hAnsi="Arial" w:cs="Arial"/>
          <w:b/>
          <w:spacing w:val="-6"/>
          <w:sz w:val="48"/>
        </w:rPr>
      </w:pPr>
    </w:p>
    <w:p w14:paraId="1B988B01" w14:textId="77777777" w:rsidR="0043303E" w:rsidRPr="00854381" w:rsidRDefault="0043303E">
      <w:pPr>
        <w:tabs>
          <w:tab w:val="center" w:pos="4680"/>
        </w:tabs>
        <w:suppressAutoHyphens/>
        <w:jc w:val="center"/>
        <w:rPr>
          <w:rFonts w:ascii="Arial" w:hAnsi="Arial" w:cs="Arial"/>
          <w:b/>
          <w:spacing w:val="-6"/>
          <w:sz w:val="48"/>
        </w:rPr>
      </w:pPr>
    </w:p>
    <w:p w14:paraId="4619553E" w14:textId="77777777" w:rsidR="007E1410" w:rsidRPr="00854381" w:rsidRDefault="007E1410">
      <w:pPr>
        <w:tabs>
          <w:tab w:val="center" w:pos="4680"/>
        </w:tabs>
        <w:suppressAutoHyphens/>
        <w:jc w:val="center"/>
        <w:rPr>
          <w:rFonts w:ascii="Arial" w:hAnsi="Arial" w:cs="Arial"/>
          <w:b/>
          <w:spacing w:val="-6"/>
          <w:sz w:val="48"/>
        </w:rPr>
      </w:pPr>
    </w:p>
    <w:tbl>
      <w:tblPr>
        <w:tblW w:w="9360" w:type="dxa"/>
        <w:tblInd w:w="108" w:type="dxa"/>
        <w:tblLayout w:type="fixed"/>
        <w:tblLook w:val="0000" w:firstRow="0" w:lastRow="0" w:firstColumn="0" w:lastColumn="0" w:noHBand="0" w:noVBand="0"/>
      </w:tblPr>
      <w:tblGrid>
        <w:gridCol w:w="3120"/>
        <w:gridCol w:w="3120"/>
        <w:gridCol w:w="3120"/>
      </w:tblGrid>
      <w:tr w:rsidR="007E1410" w:rsidRPr="00B5028A" w14:paraId="6E320F34" w14:textId="77777777">
        <w:tc>
          <w:tcPr>
            <w:tcW w:w="3120" w:type="dxa"/>
            <w:vAlign w:val="bottom"/>
          </w:tcPr>
          <w:p w14:paraId="54E807FC" w14:textId="77777777" w:rsidR="007E1410" w:rsidRPr="00854381" w:rsidRDefault="007E1410">
            <w:pPr>
              <w:pStyle w:val="Footer"/>
              <w:rPr>
                <w:rFonts w:ascii="Arial" w:hAnsi="Arial" w:cs="Arial"/>
                <w:b/>
                <w:sz w:val="16"/>
              </w:rPr>
            </w:pPr>
            <w:r w:rsidRPr="00854381">
              <w:rPr>
                <w:rFonts w:ascii="Arial" w:hAnsi="Arial" w:cs="Arial"/>
                <w:b/>
                <w:sz w:val="16"/>
              </w:rPr>
              <w:t>AUSTIN</w:t>
            </w:r>
          </w:p>
          <w:p w14:paraId="64872DEE" w14:textId="77777777" w:rsidR="007E1410" w:rsidRPr="00854381" w:rsidRDefault="007E1410">
            <w:pPr>
              <w:pStyle w:val="Footer"/>
              <w:rPr>
                <w:rFonts w:ascii="Arial" w:hAnsi="Arial" w:cs="Arial"/>
                <w:sz w:val="16"/>
              </w:rPr>
            </w:pPr>
            <w:r w:rsidRPr="00854381">
              <w:rPr>
                <w:rFonts w:ascii="Arial" w:hAnsi="Arial" w:cs="Arial"/>
                <w:sz w:val="16"/>
              </w:rPr>
              <w:t>7620 Metro Center Drive</w:t>
            </w:r>
            <w:r w:rsidRPr="00854381">
              <w:rPr>
                <w:rFonts w:ascii="Arial" w:hAnsi="Arial" w:cs="Arial"/>
                <w:sz w:val="16"/>
              </w:rPr>
              <w:tab/>
            </w:r>
            <w:r w:rsidRPr="00854381">
              <w:rPr>
                <w:rFonts w:ascii="Arial" w:hAnsi="Arial" w:cs="Arial"/>
                <w:sz w:val="16"/>
              </w:rPr>
              <w:tab/>
            </w:r>
          </w:p>
          <w:p w14:paraId="30F9E611" w14:textId="77777777" w:rsidR="007E1410" w:rsidRPr="00854381" w:rsidRDefault="007E1410">
            <w:pPr>
              <w:pStyle w:val="Footer"/>
              <w:rPr>
                <w:rFonts w:ascii="Arial" w:hAnsi="Arial" w:cs="Arial"/>
                <w:sz w:val="16"/>
              </w:rPr>
            </w:pPr>
            <w:r w:rsidRPr="00854381">
              <w:rPr>
                <w:rFonts w:ascii="Arial" w:hAnsi="Arial" w:cs="Arial"/>
                <w:sz w:val="16"/>
              </w:rPr>
              <w:t>Austin, Texas 78744</w:t>
            </w:r>
          </w:p>
          <w:p w14:paraId="7DFBF583" w14:textId="77777777" w:rsidR="007E1410" w:rsidRPr="00854381" w:rsidRDefault="007E1410">
            <w:pPr>
              <w:pStyle w:val="Footer"/>
              <w:rPr>
                <w:rFonts w:ascii="Arial" w:hAnsi="Arial" w:cs="Arial"/>
                <w:sz w:val="16"/>
              </w:rPr>
            </w:pPr>
            <w:r w:rsidRPr="00854381">
              <w:rPr>
                <w:rFonts w:ascii="Arial" w:hAnsi="Arial" w:cs="Arial"/>
                <w:sz w:val="16"/>
              </w:rPr>
              <w:t>Tel. 512.225.7000</w:t>
            </w:r>
          </w:p>
          <w:p w14:paraId="46068C8A" w14:textId="77777777" w:rsidR="007E1410" w:rsidRPr="00854381" w:rsidRDefault="007E1410">
            <w:pPr>
              <w:pStyle w:val="Footer"/>
              <w:rPr>
                <w:rFonts w:ascii="Arial" w:hAnsi="Arial" w:cs="Arial"/>
                <w:b/>
                <w:sz w:val="16"/>
              </w:rPr>
            </w:pPr>
            <w:r w:rsidRPr="00854381">
              <w:rPr>
                <w:rFonts w:ascii="Arial" w:hAnsi="Arial" w:cs="Arial"/>
                <w:sz w:val="16"/>
              </w:rPr>
              <w:t>Fax 512.225.7020</w:t>
            </w:r>
          </w:p>
        </w:tc>
        <w:tc>
          <w:tcPr>
            <w:tcW w:w="3120" w:type="dxa"/>
            <w:vAlign w:val="bottom"/>
          </w:tcPr>
          <w:p w14:paraId="044A5DFB" w14:textId="77777777" w:rsidR="007E1410" w:rsidRPr="00854381" w:rsidRDefault="002630A6">
            <w:pPr>
              <w:pStyle w:val="Footer"/>
              <w:jc w:val="center"/>
              <w:rPr>
                <w:rFonts w:ascii="Arial" w:hAnsi="Arial" w:cs="Arial"/>
                <w:sz w:val="16"/>
              </w:rPr>
            </w:pPr>
            <w:hyperlink r:id="rId8" w:history="1">
              <w:r w:rsidR="007E1410" w:rsidRPr="00854381">
                <w:rPr>
                  <w:rStyle w:val="Hyperlink"/>
                  <w:rFonts w:ascii="Arial" w:hAnsi="Arial" w:cs="Arial"/>
                  <w:sz w:val="16"/>
                </w:rPr>
                <w:t>www.ercot.com</w:t>
              </w:r>
            </w:hyperlink>
          </w:p>
        </w:tc>
        <w:tc>
          <w:tcPr>
            <w:tcW w:w="3120" w:type="dxa"/>
            <w:vAlign w:val="bottom"/>
          </w:tcPr>
          <w:p w14:paraId="3404237A" w14:textId="77777777" w:rsidR="007E1410" w:rsidRPr="00854381" w:rsidRDefault="007E1410">
            <w:pPr>
              <w:pStyle w:val="Footer"/>
              <w:jc w:val="right"/>
              <w:rPr>
                <w:rFonts w:ascii="Arial" w:hAnsi="Arial" w:cs="Arial"/>
                <w:b/>
                <w:sz w:val="16"/>
              </w:rPr>
            </w:pPr>
            <w:r w:rsidRPr="00854381">
              <w:rPr>
                <w:rFonts w:ascii="Arial" w:hAnsi="Arial" w:cs="Arial"/>
                <w:b/>
                <w:sz w:val="16"/>
              </w:rPr>
              <w:t>TAYLOR</w:t>
            </w:r>
          </w:p>
          <w:p w14:paraId="1DD1C921" w14:textId="77777777" w:rsidR="007E1410" w:rsidRPr="00854381" w:rsidRDefault="007E1410">
            <w:pPr>
              <w:pStyle w:val="Footer"/>
              <w:jc w:val="right"/>
              <w:rPr>
                <w:rFonts w:ascii="Arial" w:hAnsi="Arial" w:cs="Arial"/>
                <w:sz w:val="16"/>
              </w:rPr>
            </w:pPr>
            <w:r w:rsidRPr="00854381">
              <w:rPr>
                <w:rFonts w:ascii="Arial" w:hAnsi="Arial" w:cs="Arial"/>
                <w:sz w:val="16"/>
              </w:rPr>
              <w:t>2705 West Lake Drive</w:t>
            </w:r>
          </w:p>
          <w:p w14:paraId="141DA73F" w14:textId="77777777" w:rsidR="007E1410" w:rsidRPr="00854381" w:rsidRDefault="007E1410">
            <w:pPr>
              <w:pStyle w:val="Footer"/>
              <w:jc w:val="right"/>
              <w:rPr>
                <w:rFonts w:ascii="Arial" w:hAnsi="Arial" w:cs="Arial"/>
                <w:sz w:val="16"/>
              </w:rPr>
            </w:pPr>
            <w:r w:rsidRPr="00854381">
              <w:rPr>
                <w:rFonts w:ascii="Arial" w:hAnsi="Arial" w:cs="Arial"/>
                <w:sz w:val="16"/>
              </w:rPr>
              <w:t>Taylor, Texas 76574</w:t>
            </w:r>
          </w:p>
          <w:p w14:paraId="50A5CE76" w14:textId="77777777" w:rsidR="007E1410" w:rsidRPr="00854381" w:rsidRDefault="007E1410">
            <w:pPr>
              <w:pStyle w:val="Footer"/>
              <w:jc w:val="right"/>
              <w:rPr>
                <w:rFonts w:ascii="Arial" w:hAnsi="Arial" w:cs="Arial"/>
                <w:sz w:val="16"/>
              </w:rPr>
            </w:pPr>
            <w:r w:rsidRPr="00854381">
              <w:rPr>
                <w:rFonts w:ascii="Arial" w:hAnsi="Arial" w:cs="Arial"/>
                <w:sz w:val="16"/>
              </w:rPr>
              <w:t>Tel. 512.248.3000</w:t>
            </w:r>
          </w:p>
          <w:p w14:paraId="03EE7603" w14:textId="77777777" w:rsidR="007E1410" w:rsidRPr="00854381" w:rsidRDefault="007E1410">
            <w:pPr>
              <w:pStyle w:val="Footer"/>
              <w:jc w:val="right"/>
              <w:rPr>
                <w:rFonts w:ascii="Arial" w:hAnsi="Arial" w:cs="Arial"/>
                <w:sz w:val="16"/>
              </w:rPr>
            </w:pPr>
            <w:r w:rsidRPr="00854381">
              <w:rPr>
                <w:rFonts w:ascii="Arial" w:hAnsi="Arial" w:cs="Arial"/>
                <w:sz w:val="16"/>
              </w:rPr>
              <w:t>Fax 512.248.3095</w:t>
            </w:r>
          </w:p>
        </w:tc>
      </w:tr>
    </w:tbl>
    <w:p w14:paraId="117E2DFD" w14:textId="77777777" w:rsidR="007E1410" w:rsidRPr="00854381" w:rsidRDefault="007E1410" w:rsidP="00362D0D">
      <w:pPr>
        <w:tabs>
          <w:tab w:val="center" w:pos="4680"/>
        </w:tabs>
        <w:suppressAutoHyphens/>
        <w:jc w:val="center"/>
        <w:rPr>
          <w:rFonts w:ascii="Arial" w:hAnsi="Arial" w:cs="Arial"/>
          <w:b/>
          <w:sz w:val="24"/>
          <w:u w:val="single"/>
        </w:rPr>
      </w:pPr>
      <w:r w:rsidRPr="00854381">
        <w:rPr>
          <w:rFonts w:ascii="Arial" w:hAnsi="Arial" w:cs="Arial"/>
          <w:b/>
          <w:spacing w:val="-2"/>
          <w:sz w:val="24"/>
          <w:u w:val="single"/>
        </w:rPr>
        <w:br w:type="page"/>
      </w:r>
      <w:r w:rsidR="0011555E" w:rsidRPr="00854381">
        <w:rPr>
          <w:rFonts w:ascii="Arial" w:hAnsi="Arial" w:cs="Arial"/>
          <w:b/>
          <w:spacing w:val="-2"/>
          <w:sz w:val="24"/>
        </w:rPr>
        <w:lastRenderedPageBreak/>
        <w:t>Human Performance Improvement</w:t>
      </w:r>
      <w:r w:rsidR="0008347F" w:rsidRPr="00854381">
        <w:rPr>
          <w:rFonts w:ascii="Arial" w:hAnsi="Arial" w:cs="Arial"/>
          <w:b/>
          <w:sz w:val="24"/>
          <w:szCs w:val="24"/>
        </w:rPr>
        <w:t xml:space="preserve"> Task Force</w:t>
      </w:r>
    </w:p>
    <w:p w14:paraId="30B6EC32" w14:textId="77777777" w:rsidR="00626837" w:rsidRPr="00854381" w:rsidRDefault="00626837" w:rsidP="00362D0D">
      <w:pPr>
        <w:widowControl w:val="0"/>
        <w:spacing w:line="320" w:lineRule="exact"/>
        <w:jc w:val="both"/>
        <w:rPr>
          <w:rFonts w:ascii="Arial" w:hAnsi="Arial" w:cs="Arial"/>
          <w:sz w:val="22"/>
          <w:szCs w:val="22"/>
        </w:rPr>
      </w:pPr>
    </w:p>
    <w:p w14:paraId="74901739" w14:textId="77777777" w:rsidR="00626837" w:rsidRPr="00854381" w:rsidRDefault="00626837" w:rsidP="00854381">
      <w:pPr>
        <w:widowControl w:val="0"/>
        <w:jc w:val="both"/>
        <w:rPr>
          <w:rFonts w:ascii="Arial" w:hAnsi="Arial" w:cs="Arial"/>
          <w:sz w:val="22"/>
          <w:szCs w:val="22"/>
        </w:rPr>
      </w:pPr>
      <w:r w:rsidRPr="00854381">
        <w:rPr>
          <w:rFonts w:ascii="Arial" w:hAnsi="Arial" w:cs="Arial"/>
          <w:sz w:val="22"/>
          <w:szCs w:val="22"/>
        </w:rPr>
        <w:t xml:space="preserve">The </w:t>
      </w:r>
      <w:r w:rsidR="0011555E" w:rsidRPr="00854381">
        <w:rPr>
          <w:rFonts w:ascii="Arial" w:hAnsi="Arial" w:cs="Arial"/>
          <w:sz w:val="22"/>
          <w:szCs w:val="22"/>
        </w:rPr>
        <w:t>Human Performance Improvement</w:t>
      </w:r>
      <w:r w:rsidR="007D075F" w:rsidRPr="00854381">
        <w:rPr>
          <w:rFonts w:ascii="Arial" w:hAnsi="Arial" w:cs="Arial"/>
          <w:sz w:val="22"/>
          <w:szCs w:val="22"/>
        </w:rPr>
        <w:t xml:space="preserve"> </w:t>
      </w:r>
      <w:r w:rsidR="00D20A40" w:rsidRPr="00854381">
        <w:rPr>
          <w:rFonts w:ascii="Arial" w:hAnsi="Arial" w:cs="Arial"/>
          <w:sz w:val="22"/>
          <w:szCs w:val="22"/>
        </w:rPr>
        <w:t xml:space="preserve">Task Force </w:t>
      </w:r>
      <w:r w:rsidR="007D075F" w:rsidRPr="00854381">
        <w:rPr>
          <w:rFonts w:ascii="Arial" w:hAnsi="Arial" w:cs="Arial"/>
          <w:sz w:val="22"/>
          <w:szCs w:val="22"/>
        </w:rPr>
        <w:t>(</w:t>
      </w:r>
      <w:r w:rsidR="0011555E" w:rsidRPr="00854381">
        <w:rPr>
          <w:rFonts w:ascii="Arial" w:hAnsi="Arial" w:cs="Arial"/>
          <w:sz w:val="22"/>
          <w:szCs w:val="22"/>
        </w:rPr>
        <w:t>HPI</w:t>
      </w:r>
      <w:r w:rsidR="00DA1BD0" w:rsidRPr="00854381">
        <w:rPr>
          <w:rFonts w:ascii="Arial" w:hAnsi="Arial" w:cs="Arial"/>
          <w:sz w:val="22"/>
          <w:szCs w:val="22"/>
        </w:rPr>
        <w:t>TF</w:t>
      </w:r>
      <w:r w:rsidR="007D075F" w:rsidRPr="00854381">
        <w:rPr>
          <w:rFonts w:ascii="Arial" w:hAnsi="Arial" w:cs="Arial"/>
          <w:sz w:val="22"/>
          <w:szCs w:val="22"/>
        </w:rPr>
        <w:t>)</w:t>
      </w:r>
      <w:r w:rsidRPr="00854381">
        <w:rPr>
          <w:rFonts w:ascii="Arial" w:hAnsi="Arial" w:cs="Arial"/>
          <w:sz w:val="22"/>
          <w:szCs w:val="22"/>
        </w:rPr>
        <w:t xml:space="preserve"> is a task force reporting to the Reliability and Operations Subcommittee (ROS).</w:t>
      </w:r>
      <w:r w:rsidR="00FC38F2" w:rsidRPr="00854381">
        <w:rPr>
          <w:rFonts w:ascii="Arial" w:hAnsi="Arial" w:cs="Arial"/>
          <w:sz w:val="22"/>
          <w:szCs w:val="22"/>
        </w:rPr>
        <w:t xml:space="preserve">  </w:t>
      </w:r>
    </w:p>
    <w:p w14:paraId="56D7D679" w14:textId="77777777" w:rsidR="00626837" w:rsidRPr="00854381" w:rsidRDefault="00626837" w:rsidP="00362D0D">
      <w:pPr>
        <w:widowControl w:val="0"/>
        <w:spacing w:line="320" w:lineRule="exact"/>
        <w:jc w:val="both"/>
        <w:rPr>
          <w:rFonts w:ascii="Arial" w:hAnsi="Arial" w:cs="Arial"/>
          <w:sz w:val="22"/>
          <w:szCs w:val="22"/>
        </w:rPr>
      </w:pPr>
    </w:p>
    <w:p w14:paraId="314BC809" w14:textId="77777777" w:rsidR="007D075F" w:rsidRPr="00854381" w:rsidRDefault="007D075F"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Background</w:t>
      </w:r>
    </w:p>
    <w:p w14:paraId="4345C036" w14:textId="77777777" w:rsidR="007D075F" w:rsidRPr="00854381" w:rsidRDefault="007D075F" w:rsidP="00362D0D">
      <w:pPr>
        <w:widowControl w:val="0"/>
        <w:spacing w:line="320" w:lineRule="exact"/>
        <w:jc w:val="both"/>
        <w:rPr>
          <w:rFonts w:ascii="Arial" w:hAnsi="Arial" w:cs="Arial"/>
          <w:b/>
          <w:sz w:val="22"/>
          <w:szCs w:val="22"/>
          <w:u w:val="single"/>
        </w:rPr>
      </w:pPr>
    </w:p>
    <w:p w14:paraId="65EBA145" w14:textId="77777777" w:rsidR="00CF6DC3" w:rsidRPr="00854381" w:rsidRDefault="008825C3" w:rsidP="00CF6DC3">
      <w:pPr>
        <w:ind w:left="360"/>
        <w:jc w:val="both"/>
        <w:rPr>
          <w:rFonts w:ascii="Arial" w:hAnsi="Arial" w:cs="Arial"/>
          <w:sz w:val="22"/>
          <w:szCs w:val="22"/>
        </w:rPr>
      </w:pPr>
      <w:r w:rsidRPr="00854381">
        <w:rPr>
          <w:rFonts w:ascii="Arial" w:hAnsi="Arial" w:cs="Arial"/>
          <w:sz w:val="22"/>
          <w:szCs w:val="22"/>
        </w:rPr>
        <w:t>According to NERC,</w:t>
      </w:r>
      <w:r w:rsidR="00CF6DC3" w:rsidRPr="00854381">
        <w:rPr>
          <w:rFonts w:ascii="Arial" w:hAnsi="Arial" w:cs="Arial"/>
          <w:sz w:val="22"/>
          <w:szCs w:val="22"/>
        </w:rPr>
        <w:t xml:space="preserve"> </w:t>
      </w:r>
      <w:r w:rsidRPr="00854381">
        <w:rPr>
          <w:rFonts w:ascii="Arial" w:hAnsi="Arial" w:cs="Arial"/>
          <w:sz w:val="22"/>
          <w:szCs w:val="22"/>
        </w:rPr>
        <w:t>h</w:t>
      </w:r>
      <w:r w:rsidR="00CF6DC3" w:rsidRPr="00854381">
        <w:rPr>
          <w:rFonts w:ascii="Arial" w:hAnsi="Arial" w:cs="Arial"/>
          <w:sz w:val="22"/>
          <w:szCs w:val="22"/>
        </w:rPr>
        <w:t>uman error is often cited as the main cause for up to 80 percent of all incidents and accidents in complex, high-risk systems that exist in the aviation, petrochemical, healthcare, construction, mining, and nuclear power industries. Many of the major events that occur in the bulk power system are initially labeled as being caused by individual human error. When the causes of these human errors are broken down further, they reveal that the majority of the errors associated with events stem from latent organizational weaknesses, which are not attributable to one individual.</w:t>
      </w:r>
    </w:p>
    <w:p w14:paraId="1B96C31D"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 </w:t>
      </w:r>
    </w:p>
    <w:p w14:paraId="01C7EA5C"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People, even the very best people, will make mistakes. We have not fully understood an event if we do not see the human’s actions as reasonable (when they are). Through careful and thorough analysis of events and near misses, and most importantly, the subsequent understanding of the root and contributing causes, organizations can prevent future occurrences.</w:t>
      </w:r>
    </w:p>
    <w:p w14:paraId="6D766F16"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 </w:t>
      </w:r>
    </w:p>
    <w:p w14:paraId="73908A84" w14:textId="6A30E670" w:rsidR="00AB4E9A" w:rsidRPr="00854381" w:rsidRDefault="00CF6DC3" w:rsidP="00CF6DC3">
      <w:pPr>
        <w:ind w:left="360"/>
        <w:jc w:val="both"/>
        <w:rPr>
          <w:rFonts w:ascii="Arial" w:hAnsi="Arial" w:cs="Arial"/>
          <w:sz w:val="22"/>
          <w:szCs w:val="22"/>
        </w:rPr>
      </w:pPr>
      <w:r w:rsidRPr="00854381">
        <w:rPr>
          <w:rFonts w:ascii="Arial" w:hAnsi="Arial" w:cs="Arial"/>
          <w:sz w:val="22"/>
          <w:szCs w:val="22"/>
        </w:rPr>
        <w:t xml:space="preserve">Sound administrative and cultural controls can withstand human error. However, these controls are weakened when conditions are present that provoke error. Eliminating error precursors at the job site, workplace, or organization reduces the frequency or numbers of active errors. Events can be avoided through an understanding of the reasons mistakes occur and application of the lessons learned from past events and near misses. </w:t>
      </w:r>
      <w:r w:rsidR="00AB4E9A" w:rsidRPr="00854381">
        <w:rPr>
          <w:rFonts w:ascii="Arial" w:hAnsi="Arial" w:cs="Arial"/>
          <w:sz w:val="22"/>
          <w:szCs w:val="22"/>
        </w:rPr>
        <w:t>At the NERC level, t</w:t>
      </w:r>
      <w:r w:rsidRPr="00854381">
        <w:rPr>
          <w:rFonts w:ascii="Arial" w:hAnsi="Arial" w:cs="Arial"/>
          <w:sz w:val="22"/>
          <w:szCs w:val="22"/>
        </w:rPr>
        <w:t>he systematic investigation and evaluation of events in the bulk power system is uncovering many of the latent errors that are dormant in the system</w:t>
      </w:r>
      <w:r w:rsidR="00AB4E9A" w:rsidRPr="00854381">
        <w:rPr>
          <w:rFonts w:ascii="Arial" w:hAnsi="Arial" w:cs="Arial"/>
          <w:sz w:val="22"/>
          <w:szCs w:val="22"/>
        </w:rPr>
        <w:t>, as indicated in the figure below from the NERC 2018 State of Reliability Report.</w:t>
      </w:r>
    </w:p>
    <w:p w14:paraId="0B1ECD89" w14:textId="77777777" w:rsidR="00AB4E9A" w:rsidRPr="00854381" w:rsidRDefault="00AB4E9A" w:rsidP="00CF6DC3">
      <w:pPr>
        <w:ind w:left="360"/>
        <w:jc w:val="both"/>
        <w:rPr>
          <w:rFonts w:ascii="Arial" w:hAnsi="Arial" w:cs="Arial"/>
          <w:sz w:val="22"/>
          <w:szCs w:val="22"/>
        </w:rPr>
      </w:pPr>
      <w:r w:rsidRPr="00854381">
        <w:rPr>
          <w:rFonts w:ascii="Arial" w:hAnsi="Arial" w:cs="Arial"/>
          <w:noProof/>
        </w:rPr>
        <w:lastRenderedPageBreak/>
        <w:drawing>
          <wp:inline distT="0" distB="0" distL="0" distR="0" wp14:anchorId="279A7932" wp14:editId="6C2843A2">
            <wp:extent cx="5760720" cy="371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19927"/>
                    </a:xfrm>
                    <a:prstGeom prst="rect">
                      <a:avLst/>
                    </a:prstGeom>
                    <a:noFill/>
                    <a:ln>
                      <a:noFill/>
                    </a:ln>
                  </pic:spPr>
                </pic:pic>
              </a:graphicData>
            </a:graphic>
          </wp:inline>
        </w:drawing>
      </w:r>
      <w:r w:rsidR="00CF6DC3" w:rsidRPr="00854381">
        <w:rPr>
          <w:rFonts w:ascii="Arial" w:hAnsi="Arial" w:cs="Arial"/>
          <w:sz w:val="22"/>
          <w:szCs w:val="22"/>
        </w:rPr>
        <w:t xml:space="preserve"> </w:t>
      </w:r>
    </w:p>
    <w:p w14:paraId="37BFC3AE" w14:textId="77777777" w:rsidR="00AB4E9A" w:rsidRPr="00854381" w:rsidRDefault="00AB4E9A" w:rsidP="00AB4E9A">
      <w:pPr>
        <w:ind w:left="360"/>
        <w:jc w:val="center"/>
        <w:rPr>
          <w:rFonts w:ascii="Arial" w:hAnsi="Arial" w:cs="Arial"/>
          <w:i/>
          <w:sz w:val="22"/>
          <w:szCs w:val="22"/>
        </w:rPr>
      </w:pPr>
      <w:r w:rsidRPr="00854381">
        <w:rPr>
          <w:rFonts w:ascii="Arial" w:hAnsi="Arial" w:cs="Arial"/>
          <w:i/>
          <w:sz w:val="22"/>
          <w:szCs w:val="22"/>
        </w:rPr>
        <w:t>Management or Organizational Challenges Contributing to an Event</w:t>
      </w:r>
    </w:p>
    <w:p w14:paraId="52C2CBEB" w14:textId="77777777" w:rsidR="00AB4E9A" w:rsidRPr="00854381" w:rsidRDefault="00AB4E9A" w:rsidP="00CF6DC3">
      <w:pPr>
        <w:ind w:left="360"/>
        <w:jc w:val="both"/>
        <w:rPr>
          <w:rFonts w:ascii="Arial" w:hAnsi="Arial" w:cs="Arial"/>
          <w:sz w:val="22"/>
          <w:szCs w:val="22"/>
        </w:rPr>
      </w:pPr>
    </w:p>
    <w:p w14:paraId="1615CAD1"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 xml:space="preserve">Through the </w:t>
      </w:r>
      <w:r w:rsidR="00AB4E9A" w:rsidRPr="00854381">
        <w:rPr>
          <w:rFonts w:ascii="Arial" w:hAnsi="Arial" w:cs="Arial"/>
          <w:sz w:val="22"/>
          <w:szCs w:val="22"/>
        </w:rPr>
        <w:t xml:space="preserve">NERC </w:t>
      </w:r>
      <w:r w:rsidRPr="00854381">
        <w:rPr>
          <w:rFonts w:ascii="Arial" w:hAnsi="Arial" w:cs="Arial"/>
          <w:sz w:val="22"/>
          <w:szCs w:val="22"/>
        </w:rPr>
        <w:t>events analysis initiative and the use of Human Performance analysis and applications, the lessons learned and good industry practices are being applied to further improve the reliability of the bulk power system.</w:t>
      </w:r>
    </w:p>
    <w:p w14:paraId="5D128299" w14:textId="77777777" w:rsidR="007B0591" w:rsidRPr="00854381" w:rsidRDefault="007B0591" w:rsidP="00CB1CD0">
      <w:pPr>
        <w:ind w:left="360"/>
        <w:jc w:val="both"/>
        <w:rPr>
          <w:rFonts w:ascii="Arial" w:hAnsi="Arial" w:cs="Arial"/>
          <w:sz w:val="22"/>
          <w:szCs w:val="22"/>
        </w:rPr>
      </w:pPr>
    </w:p>
    <w:p w14:paraId="2A291D25" w14:textId="77777777" w:rsidR="004B53C0" w:rsidRDefault="004B53C0" w:rsidP="004B53C0">
      <w:pPr>
        <w:ind w:left="360"/>
        <w:jc w:val="both"/>
        <w:rPr>
          <w:rFonts w:ascii="Arial" w:hAnsi="Arial" w:cs="Arial"/>
          <w:bCs/>
          <w:sz w:val="22"/>
          <w:szCs w:val="22"/>
        </w:rPr>
      </w:pPr>
      <w:r w:rsidRPr="00854381">
        <w:rPr>
          <w:rFonts w:ascii="Arial" w:hAnsi="Arial" w:cs="Arial"/>
          <w:sz w:val="22"/>
          <w:szCs w:val="22"/>
        </w:rPr>
        <w:t>Human Performance and Skilled Workforce was also identified as high likelihood risk impact by the NERC Reliability Issues Steering Committee (RISC).  The February 2018 RISC recommendation to the NERC Board of Trustees provided these d</w:t>
      </w:r>
      <w:r w:rsidRPr="00854381">
        <w:rPr>
          <w:rFonts w:ascii="Arial" w:hAnsi="Arial" w:cs="Arial"/>
          <w:bCs/>
          <w:sz w:val="22"/>
          <w:szCs w:val="22"/>
        </w:rPr>
        <w:t xml:space="preserve">escriptors of the human performance risk profile: </w:t>
      </w:r>
    </w:p>
    <w:p w14:paraId="4916E65A" w14:textId="77777777" w:rsidR="006662BD" w:rsidRPr="00854381" w:rsidRDefault="006662BD" w:rsidP="004B53C0">
      <w:pPr>
        <w:ind w:left="360"/>
        <w:jc w:val="both"/>
        <w:rPr>
          <w:rFonts w:ascii="Arial" w:hAnsi="Arial" w:cs="Arial"/>
          <w:sz w:val="22"/>
          <w:szCs w:val="22"/>
        </w:rPr>
      </w:pPr>
    </w:p>
    <w:p w14:paraId="064FEE0F"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1. </w:t>
      </w:r>
      <w:r w:rsidRPr="00854381">
        <w:rPr>
          <w:rFonts w:ascii="Arial" w:hAnsi="Arial" w:cs="Arial"/>
          <w:sz w:val="22"/>
          <w:szCs w:val="22"/>
        </w:rPr>
        <w:tab/>
        <w:t xml:space="preserve">Organizations not implementing improvements based on past events, experiences, good industry practices, or keeping an eye on the implementation of new technologies that can hinder future operations improvements; gaps in skillsets or organizational improvement must be a priority. </w:t>
      </w:r>
    </w:p>
    <w:p w14:paraId="436C7237"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2. </w:t>
      </w:r>
      <w:r w:rsidRPr="00854381">
        <w:rPr>
          <w:rFonts w:ascii="Arial" w:hAnsi="Arial" w:cs="Arial"/>
          <w:sz w:val="22"/>
          <w:szCs w:val="22"/>
        </w:rPr>
        <w:tab/>
        <w:t xml:space="preserve">Significant increase in operational complexity resulting in more extensive training needs associated with new technology and related compliance control strategy. </w:t>
      </w:r>
    </w:p>
    <w:p w14:paraId="32668DBC"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3. </w:t>
      </w:r>
      <w:r w:rsidRPr="00854381">
        <w:rPr>
          <w:rFonts w:ascii="Arial" w:hAnsi="Arial" w:cs="Arial"/>
          <w:sz w:val="22"/>
          <w:szCs w:val="22"/>
        </w:rPr>
        <w:tab/>
        <w:t xml:space="preserve">Turnover of key skilled or experienced workers (e.g., relay technicians, operators, engineers, IT support, and substation maintenance) that will lead to more protection and control system misoperations. </w:t>
      </w:r>
    </w:p>
    <w:p w14:paraId="23583266"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4. </w:t>
      </w:r>
      <w:r w:rsidRPr="00854381">
        <w:rPr>
          <w:rFonts w:ascii="Arial" w:hAnsi="Arial" w:cs="Arial"/>
          <w:sz w:val="22"/>
          <w:szCs w:val="22"/>
        </w:rPr>
        <w:tab/>
        <w:t xml:space="preserve">Complicated new multi-discipline control and protection schemes that are beyond the skillset of the existing workforce. </w:t>
      </w:r>
    </w:p>
    <w:p w14:paraId="09924960"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5. </w:t>
      </w:r>
      <w:r w:rsidRPr="00854381">
        <w:rPr>
          <w:rFonts w:ascii="Arial" w:hAnsi="Arial" w:cs="Arial"/>
          <w:sz w:val="22"/>
          <w:szCs w:val="22"/>
        </w:rPr>
        <w:tab/>
        <w:t xml:space="preserve">A lack of training programs that prevent closing skillset gaps quickly. </w:t>
      </w:r>
    </w:p>
    <w:p w14:paraId="4C15A4F1"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6. </w:t>
      </w:r>
      <w:r w:rsidRPr="00854381">
        <w:rPr>
          <w:rFonts w:ascii="Arial" w:hAnsi="Arial" w:cs="Arial"/>
          <w:sz w:val="22"/>
          <w:szCs w:val="22"/>
        </w:rPr>
        <w:tab/>
        <w:t xml:space="preserve">Inadequate management oversight or controls leads to organizational weaknesses and inefficiencies. </w:t>
      </w:r>
    </w:p>
    <w:p w14:paraId="75658CCF"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7. </w:t>
      </w:r>
      <w:r w:rsidRPr="00854381">
        <w:rPr>
          <w:rFonts w:ascii="Arial" w:hAnsi="Arial" w:cs="Arial"/>
          <w:sz w:val="22"/>
          <w:szCs w:val="22"/>
        </w:rPr>
        <w:tab/>
        <w:t xml:space="preserve">Ineffective corrective actions lead to repeated HP errors. </w:t>
      </w:r>
    </w:p>
    <w:p w14:paraId="53D7EA8B"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lastRenderedPageBreak/>
        <w:t xml:space="preserve">8. </w:t>
      </w:r>
      <w:r w:rsidRPr="00854381">
        <w:rPr>
          <w:rFonts w:ascii="Arial" w:hAnsi="Arial" w:cs="Arial"/>
          <w:sz w:val="22"/>
          <w:szCs w:val="22"/>
        </w:rPr>
        <w:tab/>
        <w:t xml:space="preserve">Legacy systems and new technology result in disparity of the skillsets needed for BPS reliability. </w:t>
      </w:r>
    </w:p>
    <w:p w14:paraId="4827E847" w14:textId="77777777" w:rsidR="00CB1CD0" w:rsidRPr="00854381" w:rsidRDefault="00CB1CD0" w:rsidP="00362D0D">
      <w:pPr>
        <w:ind w:left="360"/>
        <w:jc w:val="both"/>
        <w:rPr>
          <w:rFonts w:ascii="Arial" w:hAnsi="Arial" w:cs="Arial"/>
          <w:sz w:val="22"/>
          <w:szCs w:val="22"/>
        </w:rPr>
      </w:pPr>
    </w:p>
    <w:p w14:paraId="3E06BD3E" w14:textId="77777777" w:rsidR="007E1410" w:rsidRPr="00854381" w:rsidRDefault="005B3FD0" w:rsidP="00362D0D">
      <w:pPr>
        <w:widowControl w:val="0"/>
        <w:spacing w:line="320" w:lineRule="exact"/>
        <w:jc w:val="both"/>
        <w:rPr>
          <w:rFonts w:ascii="Arial" w:hAnsi="Arial" w:cs="Arial"/>
          <w:sz w:val="22"/>
          <w:szCs w:val="22"/>
        </w:rPr>
      </w:pPr>
      <w:r w:rsidRPr="00854381">
        <w:rPr>
          <w:rFonts w:ascii="Arial" w:hAnsi="Arial" w:cs="Arial"/>
          <w:b/>
          <w:sz w:val="22"/>
          <w:szCs w:val="22"/>
          <w:u w:val="single"/>
        </w:rPr>
        <w:t xml:space="preserve">Purpose &amp; </w:t>
      </w:r>
      <w:r w:rsidR="007E1410" w:rsidRPr="00854381">
        <w:rPr>
          <w:rFonts w:ascii="Arial" w:hAnsi="Arial" w:cs="Arial"/>
          <w:b/>
          <w:sz w:val="22"/>
          <w:szCs w:val="22"/>
          <w:u w:val="single"/>
        </w:rPr>
        <w:t>Scope</w:t>
      </w:r>
      <w:r w:rsidR="007E1410" w:rsidRPr="00854381">
        <w:rPr>
          <w:rFonts w:ascii="Arial" w:hAnsi="Arial" w:cs="Arial"/>
          <w:b/>
          <w:sz w:val="22"/>
          <w:szCs w:val="22"/>
        </w:rPr>
        <w:tab/>
      </w:r>
      <w:r w:rsidR="007E1410" w:rsidRPr="00854381">
        <w:rPr>
          <w:rFonts w:ascii="Arial" w:hAnsi="Arial" w:cs="Arial"/>
          <w:b/>
          <w:sz w:val="22"/>
          <w:szCs w:val="22"/>
        </w:rPr>
        <w:tab/>
      </w:r>
      <w:r w:rsidR="007E1410" w:rsidRPr="00854381">
        <w:rPr>
          <w:rFonts w:ascii="Arial" w:hAnsi="Arial" w:cs="Arial"/>
          <w:sz w:val="22"/>
          <w:szCs w:val="22"/>
        </w:rPr>
        <w:t xml:space="preserve"> </w:t>
      </w:r>
    </w:p>
    <w:p w14:paraId="2396B803" w14:textId="77777777" w:rsidR="007E1410" w:rsidRPr="00854381" w:rsidRDefault="007E1410" w:rsidP="00362D0D">
      <w:pPr>
        <w:widowControl w:val="0"/>
        <w:spacing w:line="320" w:lineRule="exact"/>
        <w:ind w:left="360"/>
        <w:jc w:val="both"/>
        <w:rPr>
          <w:rFonts w:ascii="Arial" w:hAnsi="Arial" w:cs="Arial"/>
          <w:sz w:val="22"/>
          <w:szCs w:val="22"/>
        </w:rPr>
      </w:pPr>
    </w:p>
    <w:p w14:paraId="681DFF50" w14:textId="39BA12FC" w:rsidR="000E6908" w:rsidRPr="00854381" w:rsidRDefault="007E1410">
      <w:pPr>
        <w:pStyle w:val="BodyText"/>
        <w:widowControl w:val="0"/>
        <w:ind w:left="360"/>
        <w:rPr>
          <w:rFonts w:ascii="Arial" w:hAnsi="Arial" w:cs="Arial"/>
          <w:sz w:val="22"/>
          <w:szCs w:val="22"/>
        </w:rPr>
      </w:pPr>
      <w:r w:rsidRPr="00854381">
        <w:rPr>
          <w:rFonts w:ascii="Arial" w:hAnsi="Arial" w:cs="Arial"/>
          <w:sz w:val="22"/>
          <w:szCs w:val="22"/>
        </w:rPr>
        <w:t xml:space="preserve">The </w:t>
      </w:r>
      <w:r w:rsidR="005B3FD0" w:rsidRPr="00854381">
        <w:rPr>
          <w:rFonts w:ascii="Arial" w:hAnsi="Arial" w:cs="Arial"/>
          <w:sz w:val="22"/>
          <w:szCs w:val="22"/>
        </w:rPr>
        <w:t xml:space="preserve">purpose of the </w:t>
      </w:r>
      <w:r w:rsidR="008F4742" w:rsidRPr="00854381">
        <w:rPr>
          <w:rFonts w:ascii="Arial" w:hAnsi="Arial" w:cs="Arial"/>
          <w:sz w:val="22"/>
          <w:szCs w:val="22"/>
        </w:rPr>
        <w:t xml:space="preserve">ERCOT </w:t>
      </w:r>
      <w:r w:rsidR="00090F4F" w:rsidRPr="00854381">
        <w:rPr>
          <w:rFonts w:ascii="Arial" w:hAnsi="Arial" w:cs="Arial"/>
          <w:sz w:val="22"/>
          <w:szCs w:val="22"/>
        </w:rPr>
        <w:t>HPI</w:t>
      </w:r>
      <w:r w:rsidR="008F4742" w:rsidRPr="00854381">
        <w:rPr>
          <w:rFonts w:ascii="Arial" w:hAnsi="Arial" w:cs="Arial"/>
          <w:sz w:val="22"/>
          <w:szCs w:val="22"/>
        </w:rPr>
        <w:t>TF</w:t>
      </w:r>
      <w:r w:rsidR="00972AD7" w:rsidRPr="00854381">
        <w:rPr>
          <w:rFonts w:ascii="Arial" w:hAnsi="Arial" w:cs="Arial"/>
          <w:sz w:val="22"/>
          <w:szCs w:val="22"/>
        </w:rPr>
        <w:t xml:space="preserve"> is to </w:t>
      </w:r>
      <w:r w:rsidR="00CF6DC3" w:rsidRPr="00854381">
        <w:rPr>
          <w:rFonts w:ascii="Arial" w:hAnsi="Arial" w:cs="Arial"/>
          <w:sz w:val="22"/>
          <w:szCs w:val="22"/>
        </w:rPr>
        <w:t>formalize an approach to Human Performance Improvement (HPI) through the development of a</w:t>
      </w:r>
      <w:r w:rsidR="007D69FA" w:rsidRPr="00854381">
        <w:rPr>
          <w:rFonts w:ascii="Arial" w:hAnsi="Arial" w:cs="Arial"/>
          <w:color w:val="FF0000"/>
          <w:sz w:val="22"/>
          <w:szCs w:val="22"/>
        </w:rPr>
        <w:t>n</w:t>
      </w:r>
      <w:r w:rsidR="00CF6DC3" w:rsidRPr="00854381">
        <w:rPr>
          <w:rFonts w:ascii="Arial" w:hAnsi="Arial" w:cs="Arial"/>
          <w:sz w:val="22"/>
          <w:szCs w:val="22"/>
        </w:rPr>
        <w:t xml:space="preserve"> HPI working group (HPIWG) who will report to the ROS. The following are </w:t>
      </w:r>
      <w:r w:rsidR="0043303E" w:rsidRPr="00854381">
        <w:rPr>
          <w:rFonts w:ascii="Arial" w:hAnsi="Arial" w:cs="Arial"/>
          <w:sz w:val="22"/>
          <w:szCs w:val="22"/>
        </w:rPr>
        <w:t>guiding questions to aid in the development of a scope document for the HPIWG:</w:t>
      </w:r>
    </w:p>
    <w:p w14:paraId="61D8910D" w14:textId="77777777" w:rsidR="0086098C" w:rsidRPr="00854381" w:rsidRDefault="0086098C">
      <w:pPr>
        <w:pStyle w:val="BodyText"/>
        <w:widowControl w:val="0"/>
        <w:ind w:left="360"/>
        <w:rPr>
          <w:rFonts w:ascii="Arial" w:hAnsi="Arial" w:cs="Arial"/>
          <w:sz w:val="22"/>
          <w:szCs w:val="22"/>
        </w:rPr>
      </w:pPr>
    </w:p>
    <w:p w14:paraId="4C419CA1" w14:textId="77777777" w:rsidR="00E50F31" w:rsidRPr="00854381" w:rsidRDefault="00CE0C62" w:rsidP="00854381">
      <w:pPr>
        <w:pStyle w:val="BodyText"/>
        <w:widowControl w:val="0"/>
        <w:numPr>
          <w:ilvl w:val="0"/>
          <w:numId w:val="11"/>
        </w:numPr>
        <w:rPr>
          <w:rFonts w:ascii="Arial" w:hAnsi="Arial" w:cs="Arial"/>
          <w:sz w:val="22"/>
          <w:szCs w:val="22"/>
        </w:rPr>
      </w:pPr>
      <w:r w:rsidRPr="00854381">
        <w:rPr>
          <w:rFonts w:ascii="Arial" w:hAnsi="Arial" w:cs="Arial"/>
          <w:sz w:val="22"/>
          <w:szCs w:val="22"/>
        </w:rPr>
        <w:t xml:space="preserve">What </w:t>
      </w:r>
      <w:r w:rsidR="00CF6DC3" w:rsidRPr="00854381">
        <w:rPr>
          <w:rFonts w:ascii="Arial" w:hAnsi="Arial" w:cs="Arial"/>
          <w:sz w:val="22"/>
          <w:szCs w:val="22"/>
        </w:rPr>
        <w:t xml:space="preserve">best practices exist in the industry related to HPI? </w:t>
      </w:r>
    </w:p>
    <w:p w14:paraId="0C229E77" w14:textId="77777777" w:rsidR="0043303E" w:rsidRPr="00854381" w:rsidRDefault="0043303E" w:rsidP="00854381">
      <w:pPr>
        <w:pStyle w:val="BodyText"/>
        <w:widowControl w:val="0"/>
        <w:numPr>
          <w:ilvl w:val="0"/>
          <w:numId w:val="11"/>
        </w:numPr>
        <w:rPr>
          <w:rFonts w:ascii="Arial" w:hAnsi="Arial" w:cs="Arial"/>
          <w:sz w:val="22"/>
          <w:szCs w:val="22"/>
        </w:rPr>
      </w:pPr>
      <w:r w:rsidRPr="00854381">
        <w:rPr>
          <w:rFonts w:ascii="Arial" w:hAnsi="Arial" w:cs="Arial"/>
          <w:sz w:val="22"/>
          <w:szCs w:val="22"/>
        </w:rPr>
        <w:t>How do other ISO/NERC regional authority groups share information about HPI practices?</w:t>
      </w:r>
    </w:p>
    <w:p w14:paraId="2725E3C5" w14:textId="77777777" w:rsidR="0043303E" w:rsidRPr="00854381" w:rsidRDefault="0043303E" w:rsidP="00854381">
      <w:pPr>
        <w:pStyle w:val="BodyText"/>
        <w:widowControl w:val="0"/>
        <w:numPr>
          <w:ilvl w:val="0"/>
          <w:numId w:val="11"/>
        </w:numPr>
        <w:rPr>
          <w:rFonts w:ascii="Arial" w:hAnsi="Arial" w:cs="Arial"/>
          <w:sz w:val="22"/>
          <w:szCs w:val="22"/>
        </w:rPr>
      </w:pPr>
      <w:r w:rsidRPr="00854381">
        <w:rPr>
          <w:rFonts w:ascii="Arial" w:hAnsi="Arial" w:cs="Arial"/>
          <w:sz w:val="22"/>
          <w:szCs w:val="22"/>
        </w:rPr>
        <w:t>What processes need adoption in the ERCOT BES for HPI?</w:t>
      </w:r>
    </w:p>
    <w:p w14:paraId="739FBA4E" w14:textId="77777777" w:rsidR="008825C3" w:rsidRPr="00854381" w:rsidRDefault="008825C3" w:rsidP="00854381">
      <w:pPr>
        <w:pStyle w:val="BodyText"/>
        <w:widowControl w:val="0"/>
        <w:numPr>
          <w:ilvl w:val="0"/>
          <w:numId w:val="11"/>
        </w:numPr>
        <w:rPr>
          <w:rFonts w:ascii="Arial" w:hAnsi="Arial" w:cs="Arial"/>
          <w:sz w:val="22"/>
          <w:szCs w:val="22"/>
        </w:rPr>
      </w:pPr>
      <w:r w:rsidRPr="00854381">
        <w:rPr>
          <w:rFonts w:ascii="Arial" w:hAnsi="Arial" w:cs="Arial"/>
          <w:sz w:val="22"/>
          <w:szCs w:val="22"/>
        </w:rPr>
        <w:t>What is the benefit of establishing an HPI driven Corrective Action Program at ERCOT?</w:t>
      </w:r>
    </w:p>
    <w:p w14:paraId="51BB35F3" w14:textId="77777777" w:rsidR="001275D3" w:rsidRPr="00854381" w:rsidRDefault="001275D3" w:rsidP="00854381">
      <w:pPr>
        <w:pStyle w:val="BodyText"/>
        <w:widowControl w:val="0"/>
        <w:ind w:left="360"/>
        <w:rPr>
          <w:rFonts w:ascii="Arial" w:hAnsi="Arial" w:cs="Arial"/>
          <w:sz w:val="22"/>
          <w:szCs w:val="22"/>
        </w:rPr>
      </w:pPr>
    </w:p>
    <w:p w14:paraId="16118F9C" w14:textId="77777777" w:rsidR="004B53C0" w:rsidRPr="00854381" w:rsidRDefault="004B53C0" w:rsidP="00854381">
      <w:pPr>
        <w:pStyle w:val="BodyText"/>
        <w:widowControl w:val="0"/>
        <w:ind w:left="360"/>
        <w:rPr>
          <w:rFonts w:ascii="Arial" w:hAnsi="Arial" w:cs="Arial"/>
          <w:sz w:val="22"/>
          <w:szCs w:val="22"/>
        </w:rPr>
      </w:pPr>
      <w:r w:rsidRPr="00854381">
        <w:rPr>
          <w:rFonts w:ascii="Arial" w:hAnsi="Arial" w:cs="Arial"/>
          <w:sz w:val="22"/>
          <w:szCs w:val="22"/>
        </w:rPr>
        <w:t>Potential areas that the HPITF may explore include, but are not limited to, the following:</w:t>
      </w:r>
    </w:p>
    <w:p w14:paraId="3ABF0F77" w14:textId="77777777" w:rsidR="004B53C0" w:rsidRPr="00854381" w:rsidRDefault="004B53C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HPI in control room operations and situation awareness</w:t>
      </w:r>
    </w:p>
    <w:p w14:paraId="4EC1201F" w14:textId="77777777" w:rsidR="004B53C0" w:rsidRPr="00854381" w:rsidRDefault="004B53C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HPI in protection system performance</w:t>
      </w:r>
    </w:p>
    <w:p w14:paraId="61FA2192" w14:textId="77777777" w:rsidR="004B53C0" w:rsidRPr="00854381" w:rsidRDefault="004B53C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HPI in system events</w:t>
      </w:r>
    </w:p>
    <w:p w14:paraId="53E6D5D9" w14:textId="238AF766" w:rsidR="004B53C0" w:rsidRPr="008B61C9" w:rsidRDefault="00197F1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 xml:space="preserve">HPI in </w:t>
      </w:r>
      <w:r w:rsidRPr="008B61C9">
        <w:rPr>
          <w:rFonts w:ascii="Arial" w:hAnsi="Arial" w:cs="Arial"/>
          <w:sz w:val="22"/>
          <w:szCs w:val="22"/>
        </w:rPr>
        <w:t xml:space="preserve">workforce </w:t>
      </w:r>
      <w:r w:rsidR="00D41DDD" w:rsidRPr="008B61C9">
        <w:rPr>
          <w:rFonts w:ascii="Arial" w:hAnsi="Arial" w:cs="Arial"/>
          <w:sz w:val="22"/>
          <w:szCs w:val="22"/>
        </w:rPr>
        <w:t xml:space="preserve">purpose, </w:t>
      </w:r>
      <w:r w:rsidR="007D69FA" w:rsidRPr="008B61C9">
        <w:rPr>
          <w:rFonts w:ascii="Arial" w:hAnsi="Arial" w:cs="Arial"/>
          <w:sz w:val="22"/>
          <w:szCs w:val="22"/>
        </w:rPr>
        <w:t>engagement</w:t>
      </w:r>
      <w:r w:rsidR="00854381" w:rsidRPr="008B61C9">
        <w:rPr>
          <w:rFonts w:ascii="Arial" w:hAnsi="Arial" w:cs="Arial"/>
          <w:sz w:val="22"/>
          <w:szCs w:val="22"/>
        </w:rPr>
        <w:t xml:space="preserve">, </w:t>
      </w:r>
      <w:r w:rsidR="007D69FA" w:rsidRPr="008B61C9">
        <w:rPr>
          <w:rFonts w:ascii="Arial" w:hAnsi="Arial" w:cs="Arial"/>
          <w:sz w:val="22"/>
          <w:szCs w:val="22"/>
        </w:rPr>
        <w:t xml:space="preserve">and </w:t>
      </w:r>
      <w:r w:rsidRPr="008B61C9">
        <w:rPr>
          <w:rFonts w:ascii="Arial" w:hAnsi="Arial" w:cs="Arial"/>
          <w:sz w:val="22"/>
          <w:szCs w:val="22"/>
        </w:rPr>
        <w:t>turnover</w:t>
      </w:r>
    </w:p>
    <w:p w14:paraId="59A6D0AE" w14:textId="77777777" w:rsidR="004B53C0" w:rsidRPr="00854381" w:rsidRDefault="004B53C0" w:rsidP="00854381">
      <w:pPr>
        <w:pStyle w:val="BodyText"/>
        <w:widowControl w:val="0"/>
        <w:ind w:left="360"/>
        <w:rPr>
          <w:rFonts w:ascii="Arial" w:hAnsi="Arial" w:cs="Arial"/>
          <w:sz w:val="22"/>
          <w:szCs w:val="22"/>
        </w:rPr>
      </w:pPr>
    </w:p>
    <w:p w14:paraId="6FA07DCC" w14:textId="40F34DBD" w:rsidR="00EC1D6E" w:rsidRPr="00854381" w:rsidRDefault="001275D3" w:rsidP="00854381">
      <w:pPr>
        <w:pStyle w:val="BodyText"/>
        <w:widowControl w:val="0"/>
        <w:ind w:left="360"/>
        <w:rPr>
          <w:rFonts w:ascii="Arial" w:hAnsi="Arial" w:cs="Arial"/>
          <w:sz w:val="22"/>
          <w:szCs w:val="22"/>
        </w:rPr>
      </w:pPr>
      <w:r w:rsidRPr="00854381">
        <w:rPr>
          <w:rFonts w:ascii="Arial" w:hAnsi="Arial" w:cs="Arial"/>
          <w:sz w:val="22"/>
          <w:szCs w:val="22"/>
        </w:rPr>
        <w:t xml:space="preserve">The </w:t>
      </w:r>
      <w:r w:rsidR="0043303E" w:rsidRPr="00854381">
        <w:rPr>
          <w:rFonts w:ascii="Arial" w:hAnsi="Arial" w:cs="Arial"/>
          <w:sz w:val="22"/>
          <w:szCs w:val="22"/>
        </w:rPr>
        <w:t>HPI</w:t>
      </w:r>
      <w:r w:rsidR="00DA1BD0" w:rsidRPr="00854381">
        <w:rPr>
          <w:rFonts w:ascii="Arial" w:hAnsi="Arial" w:cs="Arial"/>
          <w:sz w:val="22"/>
          <w:szCs w:val="22"/>
        </w:rPr>
        <w:t>TF</w:t>
      </w:r>
      <w:r w:rsidRPr="00854381">
        <w:rPr>
          <w:rFonts w:ascii="Arial" w:hAnsi="Arial" w:cs="Arial"/>
          <w:sz w:val="22"/>
          <w:szCs w:val="22"/>
        </w:rPr>
        <w:t xml:space="preserve"> should p</w:t>
      </w:r>
      <w:r w:rsidR="00E01580" w:rsidRPr="00854381">
        <w:rPr>
          <w:rFonts w:ascii="Arial" w:hAnsi="Arial" w:cs="Arial"/>
          <w:sz w:val="22"/>
          <w:szCs w:val="22"/>
        </w:rPr>
        <w:t>repar</w:t>
      </w:r>
      <w:r w:rsidRPr="00854381">
        <w:rPr>
          <w:rFonts w:ascii="Arial" w:hAnsi="Arial" w:cs="Arial"/>
          <w:sz w:val="22"/>
          <w:szCs w:val="22"/>
        </w:rPr>
        <w:t>e</w:t>
      </w:r>
      <w:r w:rsidR="00C64B89" w:rsidRPr="00854381">
        <w:rPr>
          <w:rFonts w:ascii="Arial" w:hAnsi="Arial" w:cs="Arial"/>
          <w:sz w:val="22"/>
          <w:szCs w:val="22"/>
        </w:rPr>
        <w:t xml:space="preserve"> </w:t>
      </w:r>
      <w:r w:rsidR="000E6908" w:rsidRPr="00854381">
        <w:rPr>
          <w:rFonts w:ascii="Arial" w:hAnsi="Arial" w:cs="Arial"/>
          <w:sz w:val="22"/>
          <w:szCs w:val="22"/>
        </w:rPr>
        <w:t xml:space="preserve">a report </w:t>
      </w:r>
      <w:r w:rsidR="0086098C" w:rsidRPr="00854381">
        <w:rPr>
          <w:rFonts w:ascii="Arial" w:hAnsi="Arial" w:cs="Arial"/>
          <w:sz w:val="22"/>
          <w:szCs w:val="22"/>
        </w:rPr>
        <w:t xml:space="preserve">of its findings </w:t>
      </w:r>
      <w:r w:rsidR="0043303E" w:rsidRPr="00854381">
        <w:rPr>
          <w:rFonts w:ascii="Arial" w:hAnsi="Arial" w:cs="Arial"/>
          <w:sz w:val="22"/>
          <w:szCs w:val="22"/>
        </w:rPr>
        <w:t>and recommendations</w:t>
      </w:r>
      <w:r w:rsidR="00C56E1A" w:rsidRPr="00854381">
        <w:rPr>
          <w:rFonts w:ascii="Arial" w:hAnsi="Arial" w:cs="Arial"/>
          <w:sz w:val="22"/>
          <w:szCs w:val="22"/>
        </w:rPr>
        <w:t xml:space="preserve"> </w:t>
      </w:r>
      <w:r w:rsidR="0043303E" w:rsidRPr="00854381">
        <w:rPr>
          <w:rFonts w:ascii="Arial" w:hAnsi="Arial" w:cs="Arial"/>
          <w:sz w:val="22"/>
          <w:szCs w:val="22"/>
        </w:rPr>
        <w:t>to the</w:t>
      </w:r>
      <w:r w:rsidRPr="00854381">
        <w:rPr>
          <w:rFonts w:ascii="Arial" w:hAnsi="Arial" w:cs="Arial"/>
          <w:sz w:val="22"/>
          <w:szCs w:val="22"/>
        </w:rPr>
        <w:t xml:space="preserve"> </w:t>
      </w:r>
      <w:r w:rsidR="000E6908" w:rsidRPr="00854381">
        <w:rPr>
          <w:rFonts w:ascii="Arial" w:hAnsi="Arial" w:cs="Arial"/>
          <w:sz w:val="22"/>
          <w:szCs w:val="22"/>
        </w:rPr>
        <w:t>ROS</w:t>
      </w:r>
      <w:r w:rsidR="003D4F7B" w:rsidRPr="00854381">
        <w:rPr>
          <w:rFonts w:ascii="Arial" w:hAnsi="Arial" w:cs="Arial"/>
          <w:sz w:val="22"/>
          <w:szCs w:val="22"/>
        </w:rPr>
        <w:t xml:space="preserve"> by </w:t>
      </w:r>
      <w:r w:rsidR="00AB4E9A" w:rsidRPr="00854381">
        <w:rPr>
          <w:rFonts w:ascii="Arial" w:hAnsi="Arial" w:cs="Arial"/>
          <w:sz w:val="22"/>
          <w:szCs w:val="22"/>
        </w:rPr>
        <w:t>June</w:t>
      </w:r>
      <w:r w:rsidR="0043303E" w:rsidRPr="00854381">
        <w:rPr>
          <w:rFonts w:ascii="Arial" w:hAnsi="Arial" w:cs="Arial"/>
          <w:sz w:val="22"/>
          <w:szCs w:val="22"/>
        </w:rPr>
        <w:t xml:space="preserve"> 30, 2019</w:t>
      </w:r>
      <w:r w:rsidR="00C56E1A" w:rsidRPr="00854381">
        <w:rPr>
          <w:rFonts w:ascii="Arial" w:hAnsi="Arial" w:cs="Arial"/>
          <w:sz w:val="22"/>
          <w:szCs w:val="22"/>
        </w:rPr>
        <w:t>.</w:t>
      </w:r>
      <w:r w:rsidR="00E01580" w:rsidRPr="00854381">
        <w:rPr>
          <w:rFonts w:ascii="Arial" w:hAnsi="Arial" w:cs="Arial"/>
          <w:sz w:val="22"/>
          <w:szCs w:val="22"/>
        </w:rPr>
        <w:t xml:space="preserve">  </w:t>
      </w:r>
    </w:p>
    <w:p w14:paraId="7B06EC19" w14:textId="77777777" w:rsidR="00EC1D6E" w:rsidRPr="00854381" w:rsidRDefault="00EC1D6E" w:rsidP="001275D3">
      <w:pPr>
        <w:pStyle w:val="BodyText"/>
        <w:widowControl w:val="0"/>
        <w:spacing w:line="320" w:lineRule="exact"/>
        <w:ind w:left="360"/>
        <w:rPr>
          <w:rFonts w:ascii="Arial" w:hAnsi="Arial" w:cs="Arial"/>
          <w:sz w:val="22"/>
          <w:szCs w:val="22"/>
        </w:rPr>
      </w:pPr>
    </w:p>
    <w:p w14:paraId="539C77FD" w14:textId="77777777" w:rsidR="00366B0C" w:rsidRPr="00854381" w:rsidRDefault="00366B0C"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Membership</w:t>
      </w:r>
    </w:p>
    <w:p w14:paraId="34B3F6F5" w14:textId="77777777" w:rsidR="00366B0C" w:rsidRPr="00854381" w:rsidRDefault="00366B0C" w:rsidP="00362D0D">
      <w:pPr>
        <w:widowControl w:val="0"/>
        <w:spacing w:line="320" w:lineRule="exact"/>
        <w:ind w:left="360"/>
        <w:jc w:val="both"/>
        <w:rPr>
          <w:rFonts w:ascii="Arial" w:hAnsi="Arial" w:cs="Arial"/>
          <w:sz w:val="22"/>
          <w:szCs w:val="22"/>
        </w:rPr>
      </w:pPr>
    </w:p>
    <w:p w14:paraId="7715EADE" w14:textId="77777777" w:rsidR="00A55BCC" w:rsidRPr="00854381" w:rsidRDefault="00A55BCC" w:rsidP="00854381">
      <w:pPr>
        <w:widowControl w:val="0"/>
        <w:ind w:left="360"/>
        <w:jc w:val="both"/>
        <w:rPr>
          <w:rFonts w:ascii="Arial" w:hAnsi="Arial" w:cs="Arial"/>
          <w:sz w:val="22"/>
          <w:szCs w:val="22"/>
        </w:rPr>
      </w:pPr>
      <w:r w:rsidRPr="00854381">
        <w:rPr>
          <w:rFonts w:ascii="Arial" w:hAnsi="Arial" w:cs="Arial"/>
          <w:sz w:val="22"/>
          <w:szCs w:val="22"/>
        </w:rPr>
        <w:t>HPI</w:t>
      </w:r>
      <w:r w:rsidR="00C56E1A" w:rsidRPr="00854381">
        <w:rPr>
          <w:rFonts w:ascii="Arial" w:hAnsi="Arial" w:cs="Arial"/>
          <w:sz w:val="22"/>
          <w:szCs w:val="22"/>
        </w:rPr>
        <w:t>T</w:t>
      </w:r>
      <w:r w:rsidR="005734C9" w:rsidRPr="00854381">
        <w:rPr>
          <w:rFonts w:ascii="Arial" w:hAnsi="Arial" w:cs="Arial"/>
          <w:sz w:val="22"/>
          <w:szCs w:val="22"/>
        </w:rPr>
        <w:t xml:space="preserve">F </w:t>
      </w:r>
      <w:r w:rsidRPr="00854381">
        <w:rPr>
          <w:rFonts w:ascii="Arial" w:hAnsi="Arial" w:cs="Arial"/>
          <w:sz w:val="22"/>
          <w:szCs w:val="22"/>
        </w:rPr>
        <w:t xml:space="preserve">membership shall consist of representatives from Transmission and/or Distribution Service Providers (TDSPs), Transmission Operators, Resource Entities, and Qualified Scheduling Entities (QSEs). Representation by ERCOT ISO is required.  Public Utility Commission of Texas (PUCT), the Texas Reliability Entity (TRE), NERC and any other appropriate governing agency may be represented.  </w:t>
      </w:r>
    </w:p>
    <w:p w14:paraId="1EE04CFF" w14:textId="77777777" w:rsidR="00A55BCC" w:rsidRPr="00854381" w:rsidRDefault="00A55BCC" w:rsidP="00A55BCC">
      <w:pPr>
        <w:widowControl w:val="0"/>
        <w:spacing w:line="320" w:lineRule="exact"/>
        <w:ind w:left="360"/>
        <w:jc w:val="both"/>
        <w:rPr>
          <w:rFonts w:ascii="Arial" w:hAnsi="Arial" w:cs="Arial"/>
          <w:sz w:val="22"/>
          <w:szCs w:val="22"/>
        </w:rPr>
      </w:pPr>
    </w:p>
    <w:p w14:paraId="1DF6A057" w14:textId="77777777" w:rsidR="00A55BCC" w:rsidRPr="00854381" w:rsidRDefault="00A55BCC" w:rsidP="00A55BCC">
      <w:pPr>
        <w:widowControl w:val="0"/>
        <w:spacing w:line="320" w:lineRule="exact"/>
        <w:ind w:left="360"/>
        <w:jc w:val="both"/>
        <w:rPr>
          <w:rFonts w:ascii="Arial" w:hAnsi="Arial" w:cs="Arial"/>
          <w:sz w:val="22"/>
          <w:szCs w:val="22"/>
        </w:rPr>
      </w:pPr>
      <w:r w:rsidRPr="00854381">
        <w:rPr>
          <w:rFonts w:ascii="Arial" w:hAnsi="Arial" w:cs="Arial"/>
          <w:sz w:val="22"/>
          <w:szCs w:val="22"/>
        </w:rPr>
        <w:t>Any prospective member must sign the appropriate ERCOT Non-Disclosure Agreement (NDA) and receive approval from ERCOT ISO.  To facilitate this process, you may email the ERCOT ISO Legal department at</w:t>
      </w:r>
      <w:hyperlink r:id="rId10" w:history="1"/>
      <w:hyperlink r:id="rId11" w:history="1"/>
      <w:r w:rsidRPr="00854381">
        <w:rPr>
          <w:rFonts w:ascii="Arial" w:hAnsi="Arial" w:cs="Arial"/>
          <w:sz w:val="22"/>
          <w:szCs w:val="22"/>
        </w:rPr>
        <w:t xml:space="preserve"> NDA@ercot.com.  Any prospective member must also agree to the terms of the Antitrust Admonition.</w:t>
      </w:r>
    </w:p>
    <w:p w14:paraId="1971EAF2" w14:textId="77777777" w:rsidR="00F34A6B" w:rsidRPr="00854381" w:rsidRDefault="00F34A6B" w:rsidP="00362D0D">
      <w:pPr>
        <w:widowControl w:val="0"/>
        <w:spacing w:line="320" w:lineRule="exact"/>
        <w:jc w:val="both"/>
        <w:rPr>
          <w:rFonts w:ascii="Arial" w:hAnsi="Arial" w:cs="Arial"/>
          <w:b/>
          <w:sz w:val="22"/>
          <w:szCs w:val="22"/>
          <w:u w:val="single"/>
        </w:rPr>
      </w:pPr>
    </w:p>
    <w:p w14:paraId="424F0860" w14:textId="77777777" w:rsidR="000968D0" w:rsidRPr="00854381" w:rsidRDefault="000968D0"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Chair and Vice-Chair</w:t>
      </w:r>
    </w:p>
    <w:p w14:paraId="6D012922" w14:textId="77777777" w:rsidR="000968D0" w:rsidRPr="00854381" w:rsidRDefault="000968D0" w:rsidP="00362D0D">
      <w:pPr>
        <w:widowControl w:val="0"/>
        <w:spacing w:line="320" w:lineRule="exact"/>
        <w:ind w:left="360"/>
        <w:jc w:val="both"/>
        <w:rPr>
          <w:rFonts w:ascii="Arial" w:hAnsi="Arial" w:cs="Arial"/>
          <w:sz w:val="22"/>
          <w:szCs w:val="22"/>
        </w:rPr>
      </w:pPr>
    </w:p>
    <w:p w14:paraId="6093EA85" w14:textId="77777777" w:rsidR="000968D0" w:rsidRPr="00854381" w:rsidRDefault="000968D0" w:rsidP="00854381">
      <w:pPr>
        <w:widowControl w:val="0"/>
        <w:ind w:left="360"/>
        <w:jc w:val="both"/>
        <w:rPr>
          <w:rFonts w:ascii="Arial" w:hAnsi="Arial" w:cs="Arial"/>
          <w:sz w:val="22"/>
          <w:szCs w:val="22"/>
        </w:rPr>
      </w:pPr>
      <w:r w:rsidRPr="00854381">
        <w:rPr>
          <w:rFonts w:ascii="Arial" w:hAnsi="Arial" w:cs="Arial"/>
          <w:sz w:val="22"/>
          <w:szCs w:val="22"/>
        </w:rPr>
        <w:t>The Chair and Vice-Chair</w:t>
      </w:r>
      <w:r w:rsidR="005A532E" w:rsidRPr="00854381">
        <w:rPr>
          <w:rFonts w:ascii="Arial" w:hAnsi="Arial" w:cs="Arial"/>
          <w:sz w:val="22"/>
          <w:szCs w:val="22"/>
        </w:rPr>
        <w:t xml:space="preserve"> positions</w:t>
      </w:r>
      <w:r w:rsidRPr="00854381">
        <w:rPr>
          <w:rFonts w:ascii="Arial" w:hAnsi="Arial" w:cs="Arial"/>
          <w:sz w:val="22"/>
          <w:szCs w:val="22"/>
        </w:rPr>
        <w:t xml:space="preserve"> shall be </w:t>
      </w:r>
      <w:r w:rsidR="00BC15F3" w:rsidRPr="00854381">
        <w:rPr>
          <w:rFonts w:ascii="Arial" w:hAnsi="Arial" w:cs="Arial"/>
          <w:sz w:val="22"/>
          <w:szCs w:val="22"/>
        </w:rPr>
        <w:t xml:space="preserve">nominated </w:t>
      </w:r>
      <w:r w:rsidRPr="00854381">
        <w:rPr>
          <w:rFonts w:ascii="Arial" w:hAnsi="Arial" w:cs="Arial"/>
          <w:sz w:val="22"/>
          <w:szCs w:val="22"/>
        </w:rPr>
        <w:t xml:space="preserve">by the </w:t>
      </w:r>
      <w:r w:rsidR="00A55BCC" w:rsidRPr="00854381">
        <w:rPr>
          <w:rFonts w:ascii="Arial" w:hAnsi="Arial" w:cs="Arial"/>
          <w:sz w:val="22"/>
          <w:szCs w:val="22"/>
        </w:rPr>
        <w:t>HPI</w:t>
      </w:r>
      <w:r w:rsidR="005734C9" w:rsidRPr="00854381">
        <w:rPr>
          <w:rFonts w:ascii="Arial" w:hAnsi="Arial" w:cs="Arial"/>
          <w:sz w:val="22"/>
          <w:szCs w:val="22"/>
        </w:rPr>
        <w:t>TF</w:t>
      </w:r>
      <w:r w:rsidR="00BC15F3" w:rsidRPr="00854381">
        <w:rPr>
          <w:rFonts w:ascii="Arial" w:hAnsi="Arial" w:cs="Arial"/>
          <w:sz w:val="22"/>
          <w:szCs w:val="22"/>
        </w:rPr>
        <w:t xml:space="preserve"> for approval by ROS</w:t>
      </w:r>
      <w:r w:rsidRPr="00854381">
        <w:rPr>
          <w:rFonts w:ascii="Arial" w:hAnsi="Arial" w:cs="Arial"/>
          <w:sz w:val="22"/>
          <w:szCs w:val="22"/>
        </w:rPr>
        <w:t xml:space="preserve"> to a term not to exceed </w:t>
      </w:r>
      <w:r w:rsidR="000F23E4" w:rsidRPr="00854381">
        <w:rPr>
          <w:rFonts w:ascii="Arial" w:hAnsi="Arial" w:cs="Arial"/>
          <w:sz w:val="22"/>
          <w:szCs w:val="22"/>
        </w:rPr>
        <w:t xml:space="preserve">12 </w:t>
      </w:r>
      <w:r w:rsidRPr="00854381">
        <w:rPr>
          <w:rFonts w:ascii="Arial" w:hAnsi="Arial" w:cs="Arial"/>
          <w:sz w:val="22"/>
          <w:szCs w:val="22"/>
        </w:rPr>
        <w:t>months</w:t>
      </w:r>
      <w:r w:rsidR="0002161A" w:rsidRPr="00854381">
        <w:rPr>
          <w:rFonts w:ascii="Arial" w:hAnsi="Arial" w:cs="Arial"/>
          <w:sz w:val="22"/>
          <w:szCs w:val="22"/>
        </w:rPr>
        <w:t xml:space="preserve">, </w:t>
      </w:r>
      <w:r w:rsidR="0057020A" w:rsidRPr="00854381">
        <w:rPr>
          <w:rFonts w:ascii="Arial" w:hAnsi="Arial" w:cs="Arial"/>
          <w:sz w:val="22"/>
          <w:szCs w:val="22"/>
        </w:rPr>
        <w:t xml:space="preserve">on a </w:t>
      </w:r>
      <w:r w:rsidR="000F23E4" w:rsidRPr="00854381">
        <w:rPr>
          <w:rFonts w:ascii="Arial" w:hAnsi="Arial" w:cs="Arial"/>
          <w:sz w:val="22"/>
          <w:szCs w:val="22"/>
        </w:rPr>
        <w:t>one</w:t>
      </w:r>
      <w:r w:rsidR="00464A66" w:rsidRPr="00854381">
        <w:rPr>
          <w:rFonts w:ascii="Arial" w:hAnsi="Arial" w:cs="Arial"/>
          <w:sz w:val="22"/>
          <w:szCs w:val="22"/>
        </w:rPr>
        <w:t xml:space="preserve"> </w:t>
      </w:r>
      <w:r w:rsidR="0057020A" w:rsidRPr="00854381">
        <w:rPr>
          <w:rFonts w:ascii="Arial" w:hAnsi="Arial" w:cs="Arial"/>
          <w:sz w:val="22"/>
          <w:szCs w:val="22"/>
        </w:rPr>
        <w:t>year, rolling basis</w:t>
      </w:r>
      <w:r w:rsidR="008330DE" w:rsidRPr="00854381">
        <w:rPr>
          <w:rFonts w:ascii="Arial" w:hAnsi="Arial" w:cs="Arial"/>
          <w:sz w:val="22"/>
          <w:szCs w:val="22"/>
        </w:rPr>
        <w:t xml:space="preserve"> until the establishment of the HPIWG and disestablishment of the HPITF</w:t>
      </w:r>
      <w:r w:rsidRPr="00854381">
        <w:rPr>
          <w:rFonts w:ascii="Arial" w:hAnsi="Arial" w:cs="Arial"/>
          <w:sz w:val="22"/>
          <w:szCs w:val="22"/>
        </w:rPr>
        <w:t>.</w:t>
      </w:r>
      <w:r w:rsidR="00464A66" w:rsidRPr="00854381">
        <w:rPr>
          <w:rFonts w:ascii="Arial" w:hAnsi="Arial" w:cs="Arial"/>
          <w:sz w:val="22"/>
          <w:szCs w:val="22"/>
        </w:rPr>
        <w:t xml:space="preserve"> </w:t>
      </w:r>
      <w:r w:rsidRPr="00854381">
        <w:rPr>
          <w:rFonts w:ascii="Arial" w:hAnsi="Arial" w:cs="Arial"/>
          <w:sz w:val="22"/>
          <w:szCs w:val="22"/>
        </w:rPr>
        <w:t xml:space="preserve"> The Vice-Chair shall act as Chair in the absence of the Chair.</w:t>
      </w:r>
    </w:p>
    <w:p w14:paraId="2598E32F" w14:textId="77777777" w:rsidR="000968D0" w:rsidRPr="00854381" w:rsidRDefault="000968D0" w:rsidP="00362D0D">
      <w:pPr>
        <w:widowControl w:val="0"/>
        <w:spacing w:line="320" w:lineRule="exact"/>
        <w:ind w:left="360"/>
        <w:jc w:val="both"/>
        <w:rPr>
          <w:rFonts w:ascii="Arial" w:hAnsi="Arial" w:cs="Arial"/>
          <w:sz w:val="22"/>
          <w:szCs w:val="22"/>
        </w:rPr>
      </w:pPr>
    </w:p>
    <w:p w14:paraId="75504701" w14:textId="77777777" w:rsidR="000968D0" w:rsidRPr="00854381" w:rsidRDefault="000968D0"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lastRenderedPageBreak/>
        <w:t>Meetings</w:t>
      </w:r>
    </w:p>
    <w:p w14:paraId="23C0F5C3" w14:textId="77777777" w:rsidR="000968D0" w:rsidRPr="00854381" w:rsidRDefault="000968D0" w:rsidP="00362D0D">
      <w:pPr>
        <w:widowControl w:val="0"/>
        <w:spacing w:line="320" w:lineRule="exact"/>
        <w:ind w:left="360"/>
        <w:jc w:val="both"/>
        <w:rPr>
          <w:rFonts w:ascii="Arial" w:hAnsi="Arial" w:cs="Arial"/>
          <w:sz w:val="22"/>
          <w:szCs w:val="22"/>
        </w:rPr>
      </w:pPr>
    </w:p>
    <w:p w14:paraId="3CA1122E" w14:textId="77777777" w:rsidR="000968D0" w:rsidRPr="00854381" w:rsidRDefault="000332F5" w:rsidP="00854381">
      <w:pPr>
        <w:widowControl w:val="0"/>
        <w:ind w:left="360"/>
        <w:jc w:val="both"/>
        <w:rPr>
          <w:rFonts w:ascii="Arial" w:hAnsi="Arial" w:cs="Arial"/>
          <w:sz w:val="22"/>
          <w:szCs w:val="22"/>
        </w:rPr>
      </w:pPr>
      <w:r w:rsidRPr="00854381">
        <w:rPr>
          <w:rFonts w:ascii="Arial" w:hAnsi="Arial" w:cs="Arial"/>
          <w:sz w:val="22"/>
          <w:szCs w:val="22"/>
        </w:rPr>
        <w:t xml:space="preserve">The </w:t>
      </w:r>
      <w:r w:rsidR="00A55BCC" w:rsidRPr="00854381">
        <w:rPr>
          <w:rFonts w:ascii="Arial" w:hAnsi="Arial" w:cs="Arial"/>
          <w:sz w:val="22"/>
          <w:szCs w:val="22"/>
        </w:rPr>
        <w:t>HPI</w:t>
      </w:r>
      <w:r w:rsidR="00DA1BD0" w:rsidRPr="00854381">
        <w:rPr>
          <w:rFonts w:ascii="Arial" w:hAnsi="Arial" w:cs="Arial"/>
          <w:sz w:val="22"/>
          <w:szCs w:val="22"/>
        </w:rPr>
        <w:t>TF</w:t>
      </w:r>
      <w:r w:rsidRPr="00854381">
        <w:rPr>
          <w:rFonts w:ascii="Arial" w:hAnsi="Arial" w:cs="Arial"/>
          <w:sz w:val="22"/>
          <w:szCs w:val="22"/>
        </w:rPr>
        <w:t xml:space="preserve"> shall meet as often as necessary to perform their duties and functions</w:t>
      </w:r>
      <w:r w:rsidR="005734C9" w:rsidRPr="00854381">
        <w:rPr>
          <w:rFonts w:ascii="Arial" w:hAnsi="Arial" w:cs="Arial"/>
          <w:sz w:val="22"/>
          <w:szCs w:val="22"/>
        </w:rPr>
        <w:t>.</w:t>
      </w:r>
    </w:p>
    <w:p w14:paraId="0A434E79" w14:textId="77777777" w:rsidR="000332F5" w:rsidRPr="00854381" w:rsidRDefault="000332F5" w:rsidP="00854381">
      <w:pPr>
        <w:widowControl w:val="0"/>
        <w:ind w:left="360"/>
        <w:jc w:val="both"/>
        <w:rPr>
          <w:rFonts w:ascii="Arial" w:hAnsi="Arial" w:cs="Arial"/>
          <w:sz w:val="22"/>
          <w:szCs w:val="22"/>
        </w:rPr>
      </w:pPr>
    </w:p>
    <w:p w14:paraId="532630AD" w14:textId="77777777" w:rsidR="000332F5" w:rsidRPr="00854381" w:rsidRDefault="000332F5" w:rsidP="00854381">
      <w:pPr>
        <w:widowControl w:val="0"/>
        <w:ind w:left="360"/>
        <w:jc w:val="both"/>
        <w:rPr>
          <w:rFonts w:ascii="Arial" w:hAnsi="Arial" w:cs="Arial"/>
          <w:sz w:val="22"/>
          <w:szCs w:val="22"/>
        </w:rPr>
      </w:pPr>
      <w:r w:rsidRPr="00854381">
        <w:rPr>
          <w:rFonts w:ascii="Arial" w:hAnsi="Arial" w:cs="Arial"/>
          <w:sz w:val="22"/>
          <w:szCs w:val="22"/>
        </w:rPr>
        <w:t xml:space="preserve">All </w:t>
      </w:r>
      <w:r w:rsidR="00A55BCC" w:rsidRPr="00854381">
        <w:rPr>
          <w:rFonts w:ascii="Arial" w:hAnsi="Arial" w:cs="Arial"/>
          <w:sz w:val="22"/>
          <w:szCs w:val="22"/>
        </w:rPr>
        <w:t>HPI</w:t>
      </w:r>
      <w:r w:rsidR="00DA1BD0" w:rsidRPr="00854381">
        <w:rPr>
          <w:rFonts w:ascii="Arial" w:hAnsi="Arial" w:cs="Arial"/>
          <w:sz w:val="22"/>
          <w:szCs w:val="22"/>
        </w:rPr>
        <w:t>TF</w:t>
      </w:r>
      <w:r w:rsidR="002F2FA6" w:rsidRPr="00854381">
        <w:rPr>
          <w:rFonts w:ascii="Arial" w:hAnsi="Arial" w:cs="Arial"/>
          <w:sz w:val="22"/>
          <w:szCs w:val="22"/>
        </w:rPr>
        <w:t xml:space="preserve"> </w:t>
      </w:r>
      <w:r w:rsidRPr="00854381">
        <w:rPr>
          <w:rFonts w:ascii="Arial" w:hAnsi="Arial" w:cs="Arial"/>
          <w:sz w:val="22"/>
          <w:szCs w:val="22"/>
        </w:rPr>
        <w:t>meetings shall be called by the Chair</w:t>
      </w:r>
      <w:r w:rsidR="00195F1F" w:rsidRPr="00854381">
        <w:rPr>
          <w:rFonts w:ascii="Arial" w:hAnsi="Arial" w:cs="Arial"/>
          <w:sz w:val="22"/>
          <w:szCs w:val="22"/>
        </w:rPr>
        <w:t xml:space="preserve"> and/or Vice-Chair</w:t>
      </w:r>
      <w:r w:rsidRPr="00854381">
        <w:rPr>
          <w:rFonts w:ascii="Arial" w:hAnsi="Arial" w:cs="Arial"/>
          <w:sz w:val="22"/>
          <w:szCs w:val="22"/>
        </w:rPr>
        <w:t xml:space="preserve"> and all such meeting notices shall be sent</w:t>
      </w:r>
      <w:r w:rsidR="00FB06EA" w:rsidRPr="00854381">
        <w:rPr>
          <w:rFonts w:ascii="Arial" w:hAnsi="Arial" w:cs="Arial"/>
          <w:sz w:val="22"/>
          <w:szCs w:val="22"/>
        </w:rPr>
        <w:t xml:space="preserve"> and posted to the ERCOT website</w:t>
      </w:r>
      <w:r w:rsidRPr="00854381">
        <w:rPr>
          <w:rFonts w:ascii="Arial" w:hAnsi="Arial" w:cs="Arial"/>
          <w:sz w:val="22"/>
          <w:szCs w:val="22"/>
        </w:rPr>
        <w:t xml:space="preserve"> at least one week prior to the meeting.</w:t>
      </w:r>
    </w:p>
    <w:p w14:paraId="7B2649F1" w14:textId="77777777" w:rsidR="000332F5" w:rsidRPr="00854381" w:rsidRDefault="000332F5" w:rsidP="00854381">
      <w:pPr>
        <w:widowControl w:val="0"/>
        <w:ind w:left="360"/>
        <w:jc w:val="both"/>
        <w:rPr>
          <w:rFonts w:ascii="Arial" w:hAnsi="Arial" w:cs="Arial"/>
          <w:sz w:val="22"/>
          <w:szCs w:val="22"/>
        </w:rPr>
      </w:pPr>
    </w:p>
    <w:p w14:paraId="06EF8E60" w14:textId="77777777" w:rsidR="00AF4096" w:rsidRPr="00854381" w:rsidRDefault="000332F5" w:rsidP="00854381">
      <w:pPr>
        <w:widowControl w:val="0"/>
        <w:ind w:left="360"/>
        <w:jc w:val="both"/>
        <w:rPr>
          <w:rFonts w:ascii="Arial" w:hAnsi="Arial" w:cs="Arial"/>
          <w:sz w:val="22"/>
          <w:szCs w:val="22"/>
        </w:rPr>
      </w:pPr>
      <w:r w:rsidRPr="00854381">
        <w:rPr>
          <w:rFonts w:ascii="Arial" w:hAnsi="Arial" w:cs="Arial"/>
          <w:sz w:val="22"/>
          <w:szCs w:val="22"/>
        </w:rPr>
        <w:t>The Chair shall preside at all meetings and is responsible for preparation of agendas for such meetings</w:t>
      </w:r>
      <w:r w:rsidR="00DC5624" w:rsidRPr="00854381">
        <w:rPr>
          <w:rFonts w:ascii="Arial" w:hAnsi="Arial" w:cs="Arial"/>
          <w:sz w:val="22"/>
          <w:szCs w:val="22"/>
        </w:rPr>
        <w:t xml:space="preserve"> which will be posted to the ERCOT website in advance of the meeting</w:t>
      </w:r>
      <w:r w:rsidRPr="00854381">
        <w:rPr>
          <w:rFonts w:ascii="Arial" w:hAnsi="Arial" w:cs="Arial"/>
          <w:sz w:val="22"/>
          <w:szCs w:val="22"/>
        </w:rPr>
        <w:t>.  In the absence of the Chair</w:t>
      </w:r>
      <w:r w:rsidR="00DC5624" w:rsidRPr="00854381">
        <w:rPr>
          <w:rFonts w:ascii="Arial" w:hAnsi="Arial" w:cs="Arial"/>
          <w:sz w:val="22"/>
          <w:szCs w:val="22"/>
        </w:rPr>
        <w:t xml:space="preserve"> and </w:t>
      </w:r>
      <w:r w:rsidRPr="00854381">
        <w:rPr>
          <w:rFonts w:ascii="Arial" w:hAnsi="Arial" w:cs="Arial"/>
          <w:sz w:val="22"/>
          <w:szCs w:val="22"/>
        </w:rPr>
        <w:t>the Vice-Chair</w:t>
      </w:r>
      <w:r w:rsidR="00DC5624" w:rsidRPr="00854381">
        <w:rPr>
          <w:rFonts w:ascii="Arial" w:hAnsi="Arial" w:cs="Arial"/>
          <w:sz w:val="22"/>
          <w:szCs w:val="22"/>
        </w:rPr>
        <w:t>,</w:t>
      </w:r>
      <w:r w:rsidRPr="00854381">
        <w:rPr>
          <w:rFonts w:ascii="Arial" w:hAnsi="Arial" w:cs="Arial"/>
          <w:sz w:val="22"/>
          <w:szCs w:val="22"/>
        </w:rPr>
        <w:t xml:space="preserve"> </w:t>
      </w:r>
      <w:r w:rsidR="00DC5624" w:rsidRPr="00854381">
        <w:rPr>
          <w:rFonts w:ascii="Arial" w:hAnsi="Arial" w:cs="Arial"/>
          <w:sz w:val="22"/>
          <w:szCs w:val="22"/>
        </w:rPr>
        <w:t xml:space="preserve">the group shall select another </w:t>
      </w:r>
      <w:r w:rsidR="00A55BCC" w:rsidRPr="00854381">
        <w:rPr>
          <w:rFonts w:ascii="Arial" w:hAnsi="Arial" w:cs="Arial"/>
          <w:sz w:val="22"/>
          <w:szCs w:val="22"/>
        </w:rPr>
        <w:t>HPI</w:t>
      </w:r>
      <w:r w:rsidR="00DA1BD0" w:rsidRPr="00854381">
        <w:rPr>
          <w:rFonts w:ascii="Arial" w:hAnsi="Arial" w:cs="Arial"/>
          <w:sz w:val="22"/>
          <w:szCs w:val="22"/>
        </w:rPr>
        <w:t>TF</w:t>
      </w:r>
      <w:r w:rsidRPr="00854381">
        <w:rPr>
          <w:rFonts w:ascii="Arial" w:hAnsi="Arial" w:cs="Arial"/>
          <w:sz w:val="22"/>
          <w:szCs w:val="22"/>
        </w:rPr>
        <w:t xml:space="preserve"> member </w:t>
      </w:r>
      <w:r w:rsidR="00DC5624" w:rsidRPr="00854381">
        <w:rPr>
          <w:rFonts w:ascii="Arial" w:hAnsi="Arial" w:cs="Arial"/>
          <w:sz w:val="22"/>
          <w:szCs w:val="22"/>
        </w:rPr>
        <w:t xml:space="preserve">to </w:t>
      </w:r>
      <w:r w:rsidRPr="00854381">
        <w:rPr>
          <w:rFonts w:ascii="Arial" w:hAnsi="Arial" w:cs="Arial"/>
          <w:sz w:val="22"/>
          <w:szCs w:val="22"/>
        </w:rPr>
        <w:t xml:space="preserve">preside at the meeting.  The Chair, or the presiding member, shall be guided by </w:t>
      </w:r>
      <w:r w:rsidR="00DC5624" w:rsidRPr="00854381">
        <w:rPr>
          <w:rFonts w:ascii="Arial" w:hAnsi="Arial" w:cs="Arial"/>
          <w:sz w:val="22"/>
          <w:szCs w:val="22"/>
        </w:rPr>
        <w:t>input from the</w:t>
      </w:r>
      <w:r w:rsidR="00FB06EA" w:rsidRPr="00854381">
        <w:rPr>
          <w:rFonts w:ascii="Arial" w:hAnsi="Arial" w:cs="Arial"/>
          <w:sz w:val="22"/>
          <w:szCs w:val="22"/>
        </w:rPr>
        <w:t xml:space="preserve"> membership</w:t>
      </w:r>
      <w:r w:rsidR="00DC5624" w:rsidRPr="00854381">
        <w:rPr>
          <w:rFonts w:ascii="Arial" w:hAnsi="Arial" w:cs="Arial"/>
          <w:sz w:val="22"/>
          <w:szCs w:val="22"/>
        </w:rPr>
        <w:t xml:space="preserve"> </w:t>
      </w:r>
      <w:r w:rsidRPr="00854381">
        <w:rPr>
          <w:rFonts w:ascii="Arial" w:hAnsi="Arial" w:cs="Arial"/>
          <w:sz w:val="22"/>
          <w:szCs w:val="22"/>
        </w:rPr>
        <w:t xml:space="preserve">in the conduct of the meetings.  </w:t>
      </w:r>
    </w:p>
    <w:p w14:paraId="2F35BB0A" w14:textId="77777777" w:rsidR="00AF4096" w:rsidRPr="00854381" w:rsidRDefault="00AF4096" w:rsidP="00854381">
      <w:pPr>
        <w:widowControl w:val="0"/>
        <w:ind w:left="360"/>
        <w:jc w:val="both"/>
        <w:rPr>
          <w:rFonts w:ascii="Arial" w:hAnsi="Arial" w:cs="Arial"/>
          <w:sz w:val="22"/>
          <w:szCs w:val="22"/>
        </w:rPr>
      </w:pPr>
    </w:p>
    <w:p w14:paraId="3B553105" w14:textId="77777777" w:rsidR="005F6080" w:rsidRPr="00854381" w:rsidRDefault="00AD3046" w:rsidP="00854381">
      <w:pPr>
        <w:widowControl w:val="0"/>
        <w:ind w:left="360"/>
        <w:jc w:val="both"/>
        <w:rPr>
          <w:rFonts w:ascii="Arial" w:hAnsi="Arial" w:cs="Arial"/>
          <w:sz w:val="22"/>
          <w:szCs w:val="22"/>
        </w:rPr>
      </w:pPr>
      <w:r w:rsidRPr="00854381">
        <w:rPr>
          <w:rFonts w:ascii="Arial" w:hAnsi="Arial" w:cs="Arial"/>
          <w:sz w:val="22"/>
          <w:szCs w:val="22"/>
        </w:rPr>
        <w:t>Notes</w:t>
      </w:r>
      <w:r w:rsidR="000332F5" w:rsidRPr="00854381">
        <w:rPr>
          <w:rFonts w:ascii="Arial" w:hAnsi="Arial" w:cs="Arial"/>
          <w:sz w:val="22"/>
          <w:szCs w:val="22"/>
        </w:rPr>
        <w:t xml:space="preserve"> of </w:t>
      </w:r>
      <w:r w:rsidR="00A55BCC" w:rsidRPr="00854381">
        <w:rPr>
          <w:rFonts w:ascii="Arial" w:hAnsi="Arial" w:cs="Arial"/>
          <w:sz w:val="22"/>
          <w:szCs w:val="22"/>
        </w:rPr>
        <w:t>HPI</w:t>
      </w:r>
      <w:r w:rsidR="00DA1BD0" w:rsidRPr="00854381">
        <w:rPr>
          <w:rFonts w:ascii="Arial" w:hAnsi="Arial" w:cs="Arial"/>
          <w:sz w:val="22"/>
          <w:szCs w:val="22"/>
        </w:rPr>
        <w:t>TF</w:t>
      </w:r>
      <w:r w:rsidR="000332F5" w:rsidRPr="00854381">
        <w:rPr>
          <w:rFonts w:ascii="Arial" w:hAnsi="Arial" w:cs="Arial"/>
          <w:sz w:val="22"/>
          <w:szCs w:val="22"/>
        </w:rPr>
        <w:t xml:space="preserve"> meetings </w:t>
      </w:r>
      <w:r w:rsidR="00806477" w:rsidRPr="00854381">
        <w:rPr>
          <w:rFonts w:ascii="Arial" w:hAnsi="Arial" w:cs="Arial"/>
          <w:sz w:val="22"/>
          <w:szCs w:val="22"/>
        </w:rPr>
        <w:t xml:space="preserve">shall be recorded </w:t>
      </w:r>
      <w:r w:rsidR="000332F5" w:rsidRPr="00854381">
        <w:rPr>
          <w:rFonts w:ascii="Arial" w:hAnsi="Arial" w:cs="Arial"/>
          <w:sz w:val="22"/>
          <w:szCs w:val="22"/>
        </w:rPr>
        <w:t>and distribut</w:t>
      </w:r>
      <w:r w:rsidR="00806477" w:rsidRPr="00854381">
        <w:rPr>
          <w:rFonts w:ascii="Arial" w:hAnsi="Arial" w:cs="Arial"/>
          <w:sz w:val="22"/>
          <w:szCs w:val="22"/>
        </w:rPr>
        <w:t>ed,</w:t>
      </w:r>
      <w:r w:rsidR="001E61D1" w:rsidRPr="00854381">
        <w:rPr>
          <w:rFonts w:ascii="Arial" w:hAnsi="Arial" w:cs="Arial"/>
          <w:sz w:val="22"/>
          <w:szCs w:val="22"/>
        </w:rPr>
        <w:t xml:space="preserve"> along with </w:t>
      </w:r>
      <w:r w:rsidR="000332F5" w:rsidRPr="00854381">
        <w:rPr>
          <w:rFonts w:ascii="Arial" w:hAnsi="Arial" w:cs="Arial"/>
          <w:sz w:val="22"/>
          <w:szCs w:val="22"/>
        </w:rPr>
        <w:t xml:space="preserve">other communications to all members of the </w:t>
      </w:r>
      <w:r w:rsidR="0043303E" w:rsidRPr="00854381">
        <w:rPr>
          <w:rFonts w:ascii="Arial" w:hAnsi="Arial" w:cs="Arial"/>
          <w:sz w:val="22"/>
          <w:szCs w:val="22"/>
        </w:rPr>
        <w:t>HPI</w:t>
      </w:r>
      <w:r w:rsidR="00DA1BD0" w:rsidRPr="00854381">
        <w:rPr>
          <w:rFonts w:ascii="Arial" w:hAnsi="Arial" w:cs="Arial"/>
          <w:sz w:val="22"/>
          <w:szCs w:val="22"/>
        </w:rPr>
        <w:t>TF</w:t>
      </w:r>
      <w:r w:rsidR="001E61D1" w:rsidRPr="00854381">
        <w:rPr>
          <w:rFonts w:ascii="Arial" w:hAnsi="Arial" w:cs="Arial"/>
          <w:sz w:val="22"/>
          <w:szCs w:val="22"/>
        </w:rPr>
        <w:t xml:space="preserve">. </w:t>
      </w:r>
      <w:r w:rsidRPr="00854381">
        <w:rPr>
          <w:rFonts w:ascii="Arial" w:hAnsi="Arial" w:cs="Arial"/>
          <w:sz w:val="22"/>
          <w:szCs w:val="22"/>
        </w:rPr>
        <w:t xml:space="preserve"> </w:t>
      </w:r>
      <w:r w:rsidR="001E61D1" w:rsidRPr="00854381">
        <w:rPr>
          <w:rFonts w:ascii="Arial" w:hAnsi="Arial" w:cs="Arial"/>
          <w:sz w:val="22"/>
          <w:szCs w:val="22"/>
        </w:rPr>
        <w:t>Additionally, such information</w:t>
      </w:r>
      <w:r w:rsidR="00DC5624" w:rsidRPr="00854381">
        <w:rPr>
          <w:rFonts w:ascii="Arial" w:hAnsi="Arial" w:cs="Arial"/>
          <w:sz w:val="22"/>
          <w:szCs w:val="22"/>
        </w:rPr>
        <w:t xml:space="preserve"> will be posted on the ERCOT website as authorized by the </w:t>
      </w:r>
      <w:r w:rsidR="0043303E" w:rsidRPr="00854381">
        <w:rPr>
          <w:rFonts w:ascii="Arial" w:hAnsi="Arial" w:cs="Arial"/>
          <w:sz w:val="22"/>
          <w:szCs w:val="22"/>
        </w:rPr>
        <w:t>HPI</w:t>
      </w:r>
      <w:r w:rsidR="00DA1BD0" w:rsidRPr="00854381">
        <w:rPr>
          <w:rFonts w:ascii="Arial" w:hAnsi="Arial" w:cs="Arial"/>
          <w:sz w:val="22"/>
          <w:szCs w:val="22"/>
        </w:rPr>
        <w:t>TF</w:t>
      </w:r>
      <w:r w:rsidR="00DC5624" w:rsidRPr="00854381">
        <w:rPr>
          <w:rFonts w:ascii="Arial" w:hAnsi="Arial" w:cs="Arial"/>
          <w:sz w:val="22"/>
          <w:szCs w:val="22"/>
        </w:rPr>
        <w:t xml:space="preserve"> and author of document</w:t>
      </w:r>
      <w:r w:rsidR="000332F5" w:rsidRPr="00854381">
        <w:rPr>
          <w:rFonts w:ascii="Arial" w:hAnsi="Arial" w:cs="Arial"/>
          <w:sz w:val="22"/>
          <w:szCs w:val="22"/>
        </w:rPr>
        <w:t>.</w:t>
      </w:r>
    </w:p>
    <w:p w14:paraId="4E46641B" w14:textId="77777777" w:rsidR="00455B00" w:rsidRPr="00854381" w:rsidRDefault="00455B00" w:rsidP="00362D0D">
      <w:pPr>
        <w:widowControl w:val="0"/>
        <w:spacing w:line="320" w:lineRule="exact"/>
        <w:jc w:val="both"/>
        <w:rPr>
          <w:rFonts w:ascii="Arial" w:hAnsi="Arial" w:cs="Arial"/>
        </w:rPr>
      </w:pPr>
      <w:r w:rsidRPr="00854381">
        <w:rPr>
          <w:rFonts w:ascii="Arial" w:hAnsi="Arial" w:cs="Arial"/>
        </w:rPr>
        <w:t xml:space="preserve"> </w:t>
      </w:r>
    </w:p>
    <w:sectPr w:rsidR="00455B00" w:rsidRPr="00854381" w:rsidSect="00D45126">
      <w:endnotePr>
        <w:numFmt w:val="decimal"/>
      </w:endnotePr>
      <w:pgSz w:w="12240" w:h="15840" w:code="1"/>
      <w:pgMar w:top="1800" w:right="1440" w:bottom="1260" w:left="1728" w:header="864" w:footer="60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FD347" w14:textId="77777777" w:rsidR="002630A6" w:rsidRDefault="002630A6">
      <w:r>
        <w:separator/>
      </w:r>
    </w:p>
  </w:endnote>
  <w:endnote w:type="continuationSeparator" w:id="0">
    <w:p w14:paraId="27EC001D" w14:textId="77777777" w:rsidR="002630A6" w:rsidRDefault="002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EA00F" w14:textId="77777777" w:rsidR="002630A6" w:rsidRDefault="002630A6">
      <w:r>
        <w:separator/>
      </w:r>
    </w:p>
  </w:footnote>
  <w:footnote w:type="continuationSeparator" w:id="0">
    <w:p w14:paraId="4EAA6AB0" w14:textId="77777777" w:rsidR="002630A6" w:rsidRDefault="0026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22E"/>
    <w:multiLevelType w:val="hybridMultilevel"/>
    <w:tmpl w:val="4BE865D6"/>
    <w:lvl w:ilvl="0" w:tplc="8884CD86">
      <w:start w:val="1"/>
      <w:numFmt w:val="bullet"/>
      <w:lvlText w:val=""/>
      <w:lvlJc w:val="left"/>
      <w:pPr>
        <w:tabs>
          <w:tab w:val="num" w:pos="990"/>
        </w:tabs>
        <w:ind w:left="990" w:hanging="360"/>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717188"/>
    <w:multiLevelType w:val="singleLevel"/>
    <w:tmpl w:val="6E76479A"/>
    <w:lvl w:ilvl="0">
      <w:start w:val="1"/>
      <w:numFmt w:val="decimal"/>
      <w:lvlText w:val="%1."/>
      <w:legacy w:legacy="1" w:legacySpace="0" w:legacyIndent="360"/>
      <w:lvlJc w:val="left"/>
      <w:pPr>
        <w:ind w:left="360" w:hanging="360"/>
      </w:pPr>
    </w:lvl>
  </w:abstractNum>
  <w:abstractNum w:abstractNumId="2"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15:restartNumberingAfterBreak="0">
    <w:nsid w:val="38CA6AED"/>
    <w:multiLevelType w:val="singleLevel"/>
    <w:tmpl w:val="6E76479A"/>
    <w:lvl w:ilvl="0">
      <w:start w:val="1"/>
      <w:numFmt w:val="decimal"/>
      <w:lvlText w:val="%1."/>
      <w:legacy w:legacy="1" w:legacySpace="0" w:legacyIndent="360"/>
      <w:lvlJc w:val="left"/>
      <w:pPr>
        <w:ind w:left="360" w:hanging="360"/>
      </w:pPr>
    </w:lvl>
  </w:abstractNum>
  <w:abstractNum w:abstractNumId="4" w15:restartNumberingAfterBreak="0">
    <w:nsid w:val="3AB57505"/>
    <w:multiLevelType w:val="multilevel"/>
    <w:tmpl w:val="11007E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01550"/>
    <w:multiLevelType w:val="hybridMultilevel"/>
    <w:tmpl w:val="CB02C602"/>
    <w:lvl w:ilvl="0" w:tplc="28AA5ADA">
      <w:start w:val="1"/>
      <w:numFmt w:val="lowerLetter"/>
      <w:lvlText w:val="(%1)"/>
      <w:lvlJc w:val="left"/>
      <w:pPr>
        <w:tabs>
          <w:tab w:val="num" w:pos="990"/>
        </w:tabs>
        <w:ind w:left="990" w:hanging="360"/>
      </w:pPr>
      <w:rPr>
        <w:rFonts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932AD2"/>
    <w:multiLevelType w:val="multilevel"/>
    <w:tmpl w:val="28D27890"/>
    <w:lvl w:ilvl="0">
      <w:start w:val="1"/>
      <w:numFmt w:val="bullet"/>
      <w:lvlText w:val=""/>
      <w:lvlJc w:val="left"/>
      <w:pPr>
        <w:tabs>
          <w:tab w:val="num" w:pos="630"/>
        </w:tabs>
        <w:ind w:left="630" w:hanging="360"/>
      </w:pPr>
      <w:rPr>
        <w:rFonts w:ascii="Symbol" w:hAnsi="Symbol"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227C92"/>
    <w:multiLevelType w:val="singleLevel"/>
    <w:tmpl w:val="6E76479A"/>
    <w:lvl w:ilvl="0">
      <w:start w:val="1"/>
      <w:numFmt w:val="decimal"/>
      <w:lvlText w:val="%1."/>
      <w:legacy w:legacy="1" w:legacySpace="0" w:legacyIndent="360"/>
      <w:lvlJc w:val="left"/>
      <w:pPr>
        <w:ind w:left="360" w:hanging="360"/>
      </w:pPr>
    </w:lvl>
  </w:abstractNum>
  <w:abstractNum w:abstractNumId="8" w15:restartNumberingAfterBreak="0">
    <w:nsid w:val="6F4F0405"/>
    <w:multiLevelType w:val="hybridMultilevel"/>
    <w:tmpl w:val="EB94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FBF542A"/>
    <w:multiLevelType w:val="hybridMultilevel"/>
    <w:tmpl w:val="3A72B9AA"/>
    <w:lvl w:ilvl="0" w:tplc="8884CD86">
      <w:start w:val="1"/>
      <w:numFmt w:val="bullet"/>
      <w:lvlText w:val=""/>
      <w:lvlJc w:val="left"/>
      <w:pPr>
        <w:tabs>
          <w:tab w:val="num" w:pos="630"/>
        </w:tabs>
        <w:ind w:left="630" w:hanging="360"/>
      </w:pPr>
      <w:rPr>
        <w:rFonts w:ascii="Symbol" w:hAnsi="Symbol" w:hint="default"/>
        <w:b w:val="0"/>
        <w:i w:val="0"/>
        <w:color w:val="auto"/>
        <w:sz w:val="20"/>
        <w:szCs w:val="20"/>
      </w:rPr>
    </w:lvl>
    <w:lvl w:ilvl="1" w:tplc="8884CD86">
      <w:start w:val="1"/>
      <w:numFmt w:val="bullet"/>
      <w:lvlText w:val=""/>
      <w:lvlJc w:val="left"/>
      <w:pPr>
        <w:tabs>
          <w:tab w:val="num" w:pos="1440"/>
        </w:tabs>
        <w:ind w:left="1440" w:hanging="360"/>
      </w:pPr>
      <w:rPr>
        <w:rFonts w:ascii="Symbol" w:hAnsi="Symbol"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F42176"/>
    <w:multiLevelType w:val="multilevel"/>
    <w:tmpl w:val="4BE865D6"/>
    <w:lvl w:ilvl="0">
      <w:start w:val="1"/>
      <w:numFmt w:val="bullet"/>
      <w:lvlText w:val=""/>
      <w:lvlJc w:val="left"/>
      <w:pPr>
        <w:tabs>
          <w:tab w:val="num" w:pos="990"/>
        </w:tabs>
        <w:ind w:left="990" w:hanging="360"/>
      </w:pPr>
      <w:rPr>
        <w:rFonts w:ascii="Symbol" w:hAnsi="Symbol" w:hint="default"/>
        <w:b w:val="0"/>
        <w:i w:val="0"/>
        <w:color w:val="auto"/>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5F3814"/>
    <w:multiLevelType w:val="hybridMultilevel"/>
    <w:tmpl w:val="28D27890"/>
    <w:lvl w:ilvl="0" w:tplc="8884CD86">
      <w:start w:val="1"/>
      <w:numFmt w:val="bullet"/>
      <w:lvlText w:val=""/>
      <w:lvlJc w:val="left"/>
      <w:pPr>
        <w:tabs>
          <w:tab w:val="num" w:pos="630"/>
        </w:tabs>
        <w:ind w:left="630" w:hanging="360"/>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11"/>
  </w:num>
  <w:num w:numId="6">
    <w:abstractNumId w:val="6"/>
  </w:num>
  <w:num w:numId="7">
    <w:abstractNumId w:val="9"/>
  </w:num>
  <w:num w:numId="8">
    <w:abstractNumId w:val="0"/>
  </w:num>
  <w:num w:numId="9">
    <w:abstractNumId w:val="10"/>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2B"/>
    <w:rsid w:val="00012365"/>
    <w:rsid w:val="00013C21"/>
    <w:rsid w:val="0002161A"/>
    <w:rsid w:val="000242E9"/>
    <w:rsid w:val="00032DA4"/>
    <w:rsid w:val="000332F5"/>
    <w:rsid w:val="0008347F"/>
    <w:rsid w:val="00090F4F"/>
    <w:rsid w:val="000968D0"/>
    <w:rsid w:val="000A296F"/>
    <w:rsid w:val="000B1D8A"/>
    <w:rsid w:val="000B5B80"/>
    <w:rsid w:val="000D56DC"/>
    <w:rsid w:val="000E0394"/>
    <w:rsid w:val="000E6908"/>
    <w:rsid w:val="000E7450"/>
    <w:rsid w:val="000F23E4"/>
    <w:rsid w:val="0011555E"/>
    <w:rsid w:val="0011606F"/>
    <w:rsid w:val="00124352"/>
    <w:rsid w:val="00124AB5"/>
    <w:rsid w:val="00124F51"/>
    <w:rsid w:val="001275D3"/>
    <w:rsid w:val="001340D3"/>
    <w:rsid w:val="00140BB7"/>
    <w:rsid w:val="00157671"/>
    <w:rsid w:val="00162C37"/>
    <w:rsid w:val="00163B90"/>
    <w:rsid w:val="0018061D"/>
    <w:rsid w:val="00195F1F"/>
    <w:rsid w:val="00197F10"/>
    <w:rsid w:val="001A51A4"/>
    <w:rsid w:val="001B1C39"/>
    <w:rsid w:val="001B6241"/>
    <w:rsid w:val="001C6454"/>
    <w:rsid w:val="001E2E45"/>
    <w:rsid w:val="001E61D1"/>
    <w:rsid w:val="001F26F9"/>
    <w:rsid w:val="0020680F"/>
    <w:rsid w:val="00207F5E"/>
    <w:rsid w:val="0021181A"/>
    <w:rsid w:val="00215B95"/>
    <w:rsid w:val="0022520B"/>
    <w:rsid w:val="00225E65"/>
    <w:rsid w:val="00227E88"/>
    <w:rsid w:val="0023068C"/>
    <w:rsid w:val="0023198F"/>
    <w:rsid w:val="0023306F"/>
    <w:rsid w:val="00235E44"/>
    <w:rsid w:val="0023617A"/>
    <w:rsid w:val="002379D3"/>
    <w:rsid w:val="00253AEB"/>
    <w:rsid w:val="002630A6"/>
    <w:rsid w:val="002725B0"/>
    <w:rsid w:val="0027272A"/>
    <w:rsid w:val="00273BCE"/>
    <w:rsid w:val="002750BA"/>
    <w:rsid w:val="002856A6"/>
    <w:rsid w:val="00287BB5"/>
    <w:rsid w:val="002A0E4F"/>
    <w:rsid w:val="002A1BD4"/>
    <w:rsid w:val="002A20AC"/>
    <w:rsid w:val="002B6FCE"/>
    <w:rsid w:val="002B752B"/>
    <w:rsid w:val="002E14A2"/>
    <w:rsid w:val="002F2FA6"/>
    <w:rsid w:val="002F6B22"/>
    <w:rsid w:val="00303BF4"/>
    <w:rsid w:val="00304A04"/>
    <w:rsid w:val="003149F0"/>
    <w:rsid w:val="00333032"/>
    <w:rsid w:val="003359EE"/>
    <w:rsid w:val="00336594"/>
    <w:rsid w:val="0034514A"/>
    <w:rsid w:val="00350C25"/>
    <w:rsid w:val="00361FEF"/>
    <w:rsid w:val="00362D0D"/>
    <w:rsid w:val="00366B0C"/>
    <w:rsid w:val="00367085"/>
    <w:rsid w:val="00385F61"/>
    <w:rsid w:val="0039642A"/>
    <w:rsid w:val="003A6F32"/>
    <w:rsid w:val="003B03A9"/>
    <w:rsid w:val="003B73F1"/>
    <w:rsid w:val="003C385C"/>
    <w:rsid w:val="003D4F7B"/>
    <w:rsid w:val="003E3A57"/>
    <w:rsid w:val="003E6546"/>
    <w:rsid w:val="003E7C5C"/>
    <w:rsid w:val="003F291D"/>
    <w:rsid w:val="00401413"/>
    <w:rsid w:val="0042277E"/>
    <w:rsid w:val="00432916"/>
    <w:rsid w:val="0043303E"/>
    <w:rsid w:val="00440C14"/>
    <w:rsid w:val="00445DCF"/>
    <w:rsid w:val="00450B21"/>
    <w:rsid w:val="00451FB7"/>
    <w:rsid w:val="00455B00"/>
    <w:rsid w:val="004638E0"/>
    <w:rsid w:val="00464A66"/>
    <w:rsid w:val="00472304"/>
    <w:rsid w:val="004876D8"/>
    <w:rsid w:val="00493008"/>
    <w:rsid w:val="004941BB"/>
    <w:rsid w:val="004A2F45"/>
    <w:rsid w:val="004B53C0"/>
    <w:rsid w:val="004C2798"/>
    <w:rsid w:val="004D59A9"/>
    <w:rsid w:val="004D664A"/>
    <w:rsid w:val="004E574B"/>
    <w:rsid w:val="005018B6"/>
    <w:rsid w:val="00505B17"/>
    <w:rsid w:val="005176F8"/>
    <w:rsid w:val="0052480F"/>
    <w:rsid w:val="00535A92"/>
    <w:rsid w:val="0055017E"/>
    <w:rsid w:val="0055257C"/>
    <w:rsid w:val="00552D55"/>
    <w:rsid w:val="00554876"/>
    <w:rsid w:val="0056069E"/>
    <w:rsid w:val="0057020A"/>
    <w:rsid w:val="005734C9"/>
    <w:rsid w:val="00580B10"/>
    <w:rsid w:val="00585AD5"/>
    <w:rsid w:val="005944E1"/>
    <w:rsid w:val="00596B98"/>
    <w:rsid w:val="005A532E"/>
    <w:rsid w:val="005B0FDD"/>
    <w:rsid w:val="005B3FD0"/>
    <w:rsid w:val="005B675F"/>
    <w:rsid w:val="005D5ACC"/>
    <w:rsid w:val="005E1347"/>
    <w:rsid w:val="005F483C"/>
    <w:rsid w:val="005F6080"/>
    <w:rsid w:val="0060479C"/>
    <w:rsid w:val="00617F5F"/>
    <w:rsid w:val="00626837"/>
    <w:rsid w:val="00635284"/>
    <w:rsid w:val="006601C2"/>
    <w:rsid w:val="006617E2"/>
    <w:rsid w:val="006662BD"/>
    <w:rsid w:val="00666FBB"/>
    <w:rsid w:val="006676FA"/>
    <w:rsid w:val="006867B0"/>
    <w:rsid w:val="00692A23"/>
    <w:rsid w:val="006A4A4E"/>
    <w:rsid w:val="006D5767"/>
    <w:rsid w:val="006D590C"/>
    <w:rsid w:val="006D776B"/>
    <w:rsid w:val="006D7D9A"/>
    <w:rsid w:val="006E0C80"/>
    <w:rsid w:val="006E3C7B"/>
    <w:rsid w:val="006E7D3A"/>
    <w:rsid w:val="00707D14"/>
    <w:rsid w:val="0077555E"/>
    <w:rsid w:val="00793DF8"/>
    <w:rsid w:val="007A6331"/>
    <w:rsid w:val="007B0591"/>
    <w:rsid w:val="007B7ADD"/>
    <w:rsid w:val="007C5B97"/>
    <w:rsid w:val="007D05C1"/>
    <w:rsid w:val="007D075F"/>
    <w:rsid w:val="007D11A8"/>
    <w:rsid w:val="007D69FA"/>
    <w:rsid w:val="007D766A"/>
    <w:rsid w:val="007E1410"/>
    <w:rsid w:val="007F732D"/>
    <w:rsid w:val="00803624"/>
    <w:rsid w:val="00804BC4"/>
    <w:rsid w:val="00806477"/>
    <w:rsid w:val="00823F53"/>
    <w:rsid w:val="00824C35"/>
    <w:rsid w:val="00825C38"/>
    <w:rsid w:val="00830E33"/>
    <w:rsid w:val="008330DE"/>
    <w:rsid w:val="008408D5"/>
    <w:rsid w:val="0085150D"/>
    <w:rsid w:val="00854381"/>
    <w:rsid w:val="0086098C"/>
    <w:rsid w:val="00862494"/>
    <w:rsid w:val="0086528A"/>
    <w:rsid w:val="00872360"/>
    <w:rsid w:val="00875D38"/>
    <w:rsid w:val="00881885"/>
    <w:rsid w:val="008825C3"/>
    <w:rsid w:val="008828B4"/>
    <w:rsid w:val="00892745"/>
    <w:rsid w:val="008A34E6"/>
    <w:rsid w:val="008A5BFF"/>
    <w:rsid w:val="008A651E"/>
    <w:rsid w:val="008B1C76"/>
    <w:rsid w:val="008B61C9"/>
    <w:rsid w:val="008B6CBB"/>
    <w:rsid w:val="008C06AF"/>
    <w:rsid w:val="008C65D2"/>
    <w:rsid w:val="008C71A3"/>
    <w:rsid w:val="008C72D6"/>
    <w:rsid w:val="008E40A5"/>
    <w:rsid w:val="008F4742"/>
    <w:rsid w:val="008F5C25"/>
    <w:rsid w:val="009125A9"/>
    <w:rsid w:val="00914E39"/>
    <w:rsid w:val="00936558"/>
    <w:rsid w:val="0095207F"/>
    <w:rsid w:val="0095649D"/>
    <w:rsid w:val="009661D6"/>
    <w:rsid w:val="009729E4"/>
    <w:rsid w:val="00972AD7"/>
    <w:rsid w:val="00987030"/>
    <w:rsid w:val="00991CB3"/>
    <w:rsid w:val="00993AFA"/>
    <w:rsid w:val="00996F8A"/>
    <w:rsid w:val="009A6591"/>
    <w:rsid w:val="009A71B8"/>
    <w:rsid w:val="009B4261"/>
    <w:rsid w:val="009B7B39"/>
    <w:rsid w:val="009B7D79"/>
    <w:rsid w:val="009C7F72"/>
    <w:rsid w:val="009D5C5A"/>
    <w:rsid w:val="009D675D"/>
    <w:rsid w:val="009F19E2"/>
    <w:rsid w:val="009F71EB"/>
    <w:rsid w:val="009F7DD0"/>
    <w:rsid w:val="00A05D90"/>
    <w:rsid w:val="00A31A1C"/>
    <w:rsid w:val="00A4012F"/>
    <w:rsid w:val="00A525CC"/>
    <w:rsid w:val="00A530F3"/>
    <w:rsid w:val="00A55BCC"/>
    <w:rsid w:val="00A6280E"/>
    <w:rsid w:val="00A8045E"/>
    <w:rsid w:val="00A8120F"/>
    <w:rsid w:val="00A94CE2"/>
    <w:rsid w:val="00A975E3"/>
    <w:rsid w:val="00AA1272"/>
    <w:rsid w:val="00AA7D7E"/>
    <w:rsid w:val="00AB211B"/>
    <w:rsid w:val="00AB4E9A"/>
    <w:rsid w:val="00AB536F"/>
    <w:rsid w:val="00AD26E8"/>
    <w:rsid w:val="00AD3046"/>
    <w:rsid w:val="00AE6E87"/>
    <w:rsid w:val="00AF11F3"/>
    <w:rsid w:val="00AF4096"/>
    <w:rsid w:val="00AF4836"/>
    <w:rsid w:val="00AF7924"/>
    <w:rsid w:val="00B047D7"/>
    <w:rsid w:val="00B16106"/>
    <w:rsid w:val="00B24A8C"/>
    <w:rsid w:val="00B26AD7"/>
    <w:rsid w:val="00B26BC8"/>
    <w:rsid w:val="00B32BA7"/>
    <w:rsid w:val="00B340C4"/>
    <w:rsid w:val="00B37DA7"/>
    <w:rsid w:val="00B42B69"/>
    <w:rsid w:val="00B42D55"/>
    <w:rsid w:val="00B43163"/>
    <w:rsid w:val="00B5028A"/>
    <w:rsid w:val="00B517C9"/>
    <w:rsid w:val="00B520F3"/>
    <w:rsid w:val="00B537C1"/>
    <w:rsid w:val="00B55DAA"/>
    <w:rsid w:val="00B63B57"/>
    <w:rsid w:val="00B63F4A"/>
    <w:rsid w:val="00B87B5E"/>
    <w:rsid w:val="00B90A2A"/>
    <w:rsid w:val="00B97368"/>
    <w:rsid w:val="00BB0130"/>
    <w:rsid w:val="00BB0A1C"/>
    <w:rsid w:val="00BB0C6D"/>
    <w:rsid w:val="00BB7EA4"/>
    <w:rsid w:val="00BC15F3"/>
    <w:rsid w:val="00BF6BB2"/>
    <w:rsid w:val="00C0327E"/>
    <w:rsid w:val="00C201B3"/>
    <w:rsid w:val="00C21D76"/>
    <w:rsid w:val="00C33ABE"/>
    <w:rsid w:val="00C40461"/>
    <w:rsid w:val="00C418AE"/>
    <w:rsid w:val="00C556C7"/>
    <w:rsid w:val="00C56E1A"/>
    <w:rsid w:val="00C61BEC"/>
    <w:rsid w:val="00C64B89"/>
    <w:rsid w:val="00C73FD3"/>
    <w:rsid w:val="00C758C5"/>
    <w:rsid w:val="00C77223"/>
    <w:rsid w:val="00C826A3"/>
    <w:rsid w:val="00C87E11"/>
    <w:rsid w:val="00CA687A"/>
    <w:rsid w:val="00CB1CD0"/>
    <w:rsid w:val="00CD1740"/>
    <w:rsid w:val="00CD3075"/>
    <w:rsid w:val="00CD4F08"/>
    <w:rsid w:val="00CE0C62"/>
    <w:rsid w:val="00CE4C4B"/>
    <w:rsid w:val="00CF6DC3"/>
    <w:rsid w:val="00CF75AB"/>
    <w:rsid w:val="00D00196"/>
    <w:rsid w:val="00D14AB3"/>
    <w:rsid w:val="00D16468"/>
    <w:rsid w:val="00D16504"/>
    <w:rsid w:val="00D20A40"/>
    <w:rsid w:val="00D20ACC"/>
    <w:rsid w:val="00D41DDD"/>
    <w:rsid w:val="00D45126"/>
    <w:rsid w:val="00D704EB"/>
    <w:rsid w:val="00D70507"/>
    <w:rsid w:val="00D71B46"/>
    <w:rsid w:val="00D90B4D"/>
    <w:rsid w:val="00D91AC5"/>
    <w:rsid w:val="00DA1BD0"/>
    <w:rsid w:val="00DB71F4"/>
    <w:rsid w:val="00DC54D3"/>
    <w:rsid w:val="00DC5624"/>
    <w:rsid w:val="00DD1130"/>
    <w:rsid w:val="00DD52A1"/>
    <w:rsid w:val="00DD617A"/>
    <w:rsid w:val="00DD7670"/>
    <w:rsid w:val="00DE1322"/>
    <w:rsid w:val="00DF0E4F"/>
    <w:rsid w:val="00E01580"/>
    <w:rsid w:val="00E106BC"/>
    <w:rsid w:val="00E10BD1"/>
    <w:rsid w:val="00E1352E"/>
    <w:rsid w:val="00E15762"/>
    <w:rsid w:val="00E276B1"/>
    <w:rsid w:val="00E361BF"/>
    <w:rsid w:val="00E50F31"/>
    <w:rsid w:val="00E5233E"/>
    <w:rsid w:val="00E57AC6"/>
    <w:rsid w:val="00E64F3A"/>
    <w:rsid w:val="00E7347A"/>
    <w:rsid w:val="00EB5695"/>
    <w:rsid w:val="00EC1D6E"/>
    <w:rsid w:val="00EC34EB"/>
    <w:rsid w:val="00EE1E00"/>
    <w:rsid w:val="00F05251"/>
    <w:rsid w:val="00F102D6"/>
    <w:rsid w:val="00F10C87"/>
    <w:rsid w:val="00F13A96"/>
    <w:rsid w:val="00F34A6B"/>
    <w:rsid w:val="00F3685F"/>
    <w:rsid w:val="00F41200"/>
    <w:rsid w:val="00F57BB1"/>
    <w:rsid w:val="00F61BE0"/>
    <w:rsid w:val="00F868C5"/>
    <w:rsid w:val="00F94792"/>
    <w:rsid w:val="00F97A06"/>
    <w:rsid w:val="00FB06EA"/>
    <w:rsid w:val="00FC38F2"/>
    <w:rsid w:val="00FD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BE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45"/>
  </w:style>
  <w:style w:type="paragraph" w:styleId="Heading1">
    <w:name w:val="heading 1"/>
    <w:basedOn w:val="Normal"/>
    <w:next w:val="Normal"/>
    <w:qFormat/>
    <w:rsid w:val="001E2E45"/>
    <w:pPr>
      <w:keepNext/>
      <w:widowControl w:val="0"/>
      <w:jc w:val="both"/>
      <w:outlineLvl w:val="0"/>
    </w:pPr>
    <w:rPr>
      <w:sz w:val="24"/>
    </w:rPr>
  </w:style>
  <w:style w:type="paragraph" w:styleId="Heading2">
    <w:name w:val="heading 2"/>
    <w:basedOn w:val="Normal"/>
    <w:next w:val="Normal"/>
    <w:qFormat/>
    <w:rsid w:val="001E2E45"/>
    <w:pPr>
      <w:keepNext/>
      <w:widowControl w:val="0"/>
      <w:jc w:val="both"/>
      <w:outlineLvl w:val="1"/>
    </w:pPr>
    <w:rPr>
      <w:b/>
      <w:sz w:val="24"/>
      <w:u w:val="single"/>
    </w:rPr>
  </w:style>
  <w:style w:type="paragraph" w:styleId="Heading3">
    <w:name w:val="heading 3"/>
    <w:basedOn w:val="Normal"/>
    <w:next w:val="Normal"/>
    <w:qFormat/>
    <w:rsid w:val="001E2E45"/>
    <w:pPr>
      <w:keepNext/>
      <w:outlineLvl w:val="2"/>
    </w:pPr>
    <w:rPr>
      <w:b/>
      <w:sz w:val="24"/>
      <w:u w:val="single"/>
    </w:rPr>
  </w:style>
  <w:style w:type="paragraph" w:styleId="Heading4">
    <w:name w:val="heading 4"/>
    <w:basedOn w:val="Normal"/>
    <w:next w:val="Normal"/>
    <w:qFormat/>
    <w:rsid w:val="001E2E45"/>
    <w:pPr>
      <w:keepNext/>
      <w:widowControl w:val="0"/>
      <w:jc w:val="both"/>
      <w:outlineLvl w:val="3"/>
    </w:pPr>
    <w:rPr>
      <w:b/>
      <w:sz w:val="24"/>
    </w:rPr>
  </w:style>
  <w:style w:type="paragraph" w:styleId="Heading5">
    <w:name w:val="heading 5"/>
    <w:basedOn w:val="Normal"/>
    <w:next w:val="Normal"/>
    <w:qFormat/>
    <w:rsid w:val="001E2E45"/>
    <w:pPr>
      <w:keepNext/>
      <w:tabs>
        <w:tab w:val="left" w:pos="-720"/>
      </w:tabs>
      <w:suppressAutoHyphens/>
      <w:jc w:val="center"/>
      <w:outlineLvl w:val="4"/>
    </w:pPr>
    <w:rPr>
      <w:b/>
      <w:spacing w:val="-6"/>
      <w:sz w:val="48"/>
    </w:rPr>
  </w:style>
  <w:style w:type="paragraph" w:styleId="Heading6">
    <w:name w:val="heading 6"/>
    <w:basedOn w:val="Normal"/>
    <w:next w:val="Normal"/>
    <w:qFormat/>
    <w:rsid w:val="001E2E45"/>
    <w:pPr>
      <w:keepNext/>
      <w:widowControl w:val="0"/>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E2E45"/>
  </w:style>
  <w:style w:type="paragraph" w:styleId="Header">
    <w:name w:val="header"/>
    <w:basedOn w:val="Normal"/>
    <w:link w:val="HeaderChar"/>
    <w:uiPriority w:val="99"/>
    <w:rsid w:val="001E2E45"/>
    <w:pPr>
      <w:tabs>
        <w:tab w:val="center" w:pos="4320"/>
        <w:tab w:val="right" w:pos="8640"/>
      </w:tabs>
    </w:pPr>
  </w:style>
  <w:style w:type="paragraph" w:styleId="Footer">
    <w:name w:val="footer"/>
    <w:basedOn w:val="Normal"/>
    <w:rsid w:val="001E2E45"/>
    <w:pPr>
      <w:tabs>
        <w:tab w:val="center" w:pos="4320"/>
        <w:tab w:val="right" w:pos="8640"/>
      </w:tabs>
    </w:pPr>
  </w:style>
  <w:style w:type="character" w:styleId="PageNumber">
    <w:name w:val="page number"/>
    <w:basedOn w:val="DefaultParagraphFont"/>
    <w:rsid w:val="001E2E45"/>
  </w:style>
  <w:style w:type="paragraph" w:styleId="BodyText">
    <w:name w:val="Body Text"/>
    <w:basedOn w:val="Normal"/>
    <w:rsid w:val="001E2E45"/>
    <w:pPr>
      <w:jc w:val="both"/>
    </w:pPr>
    <w:rPr>
      <w:sz w:val="24"/>
    </w:rPr>
  </w:style>
  <w:style w:type="character" w:styleId="CommentReference">
    <w:name w:val="annotation reference"/>
    <w:semiHidden/>
    <w:rsid w:val="001E2E45"/>
    <w:rPr>
      <w:sz w:val="16"/>
    </w:rPr>
  </w:style>
  <w:style w:type="paragraph" w:styleId="CommentText">
    <w:name w:val="annotation text"/>
    <w:basedOn w:val="Normal"/>
    <w:semiHidden/>
    <w:rsid w:val="001E2E45"/>
  </w:style>
  <w:style w:type="paragraph" w:styleId="BalloonText">
    <w:name w:val="Balloon Text"/>
    <w:basedOn w:val="Normal"/>
    <w:semiHidden/>
    <w:rsid w:val="002B752B"/>
    <w:rPr>
      <w:rFonts w:ascii="Tahoma" w:hAnsi="Tahoma" w:cs="Tahoma"/>
      <w:sz w:val="16"/>
      <w:szCs w:val="16"/>
    </w:rPr>
  </w:style>
  <w:style w:type="paragraph" w:styleId="CommentSubject">
    <w:name w:val="annotation subject"/>
    <w:basedOn w:val="CommentText"/>
    <w:next w:val="CommentText"/>
    <w:semiHidden/>
    <w:rsid w:val="00DB71F4"/>
    <w:rPr>
      <w:b/>
      <w:bCs/>
    </w:rPr>
  </w:style>
  <w:style w:type="character" w:styleId="Hyperlink">
    <w:name w:val="Hyperlink"/>
    <w:rsid w:val="00B32BA7"/>
    <w:rPr>
      <w:color w:val="0000FF"/>
      <w:u w:val="single"/>
    </w:rPr>
  </w:style>
  <w:style w:type="paragraph" w:styleId="Revision">
    <w:name w:val="Revision"/>
    <w:hidden/>
    <w:uiPriority w:val="99"/>
    <w:semiHidden/>
    <w:rsid w:val="00535A92"/>
  </w:style>
  <w:style w:type="paragraph" w:styleId="ListParagraph">
    <w:name w:val="List Paragraph"/>
    <w:basedOn w:val="Normal"/>
    <w:uiPriority w:val="34"/>
    <w:qFormat/>
    <w:rsid w:val="000E6908"/>
    <w:pPr>
      <w:ind w:left="720"/>
      <w:contextualSpacing/>
    </w:pPr>
  </w:style>
  <w:style w:type="character" w:customStyle="1" w:styleId="HeaderChar">
    <w:name w:val="Header Char"/>
    <w:basedOn w:val="DefaultParagraphFont"/>
    <w:link w:val="Header"/>
    <w:uiPriority w:val="99"/>
    <w:rsid w:val="001A51A4"/>
  </w:style>
  <w:style w:type="paragraph" w:customStyle="1" w:styleId="Default">
    <w:name w:val="Default"/>
    <w:rsid w:val="004B53C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cipwg/cipag/keydocs/2009/www.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 TargetMode="Externa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6888</CharactersWithSpaces>
  <SharedDoc>false</SharedDoc>
  <HLinks>
    <vt:vector size="6"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2018-10-03T15:06:00Z</dcterms:created>
  <dcterms:modified xsi:type="dcterms:W3CDTF">2018-10-03T15:06:00Z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fb8ccdb3-f655-481a-ab27-a19e28eee99e</vt:lpwstr>
  </property>
</Properties>
</file>