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18" w:rsidRDefault="00FE0B18" w:rsidP="00FE0B18">
      <w:pPr>
        <w:spacing w:after="0"/>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ERCOT Client Services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September 25, 2018 2:07 PM</w:t>
      </w:r>
      <w:r>
        <w:rPr>
          <w:rFonts w:ascii="Calibri" w:hAnsi="Calibri"/>
          <w:sz w:val="22"/>
          <w:szCs w:val="22"/>
        </w:rPr>
        <w:br/>
      </w:r>
      <w:r>
        <w:rPr>
          <w:rFonts w:ascii="Calibri" w:hAnsi="Calibri"/>
          <w:b/>
          <w:bCs/>
          <w:sz w:val="22"/>
          <w:szCs w:val="22"/>
        </w:rPr>
        <w:t>To:</w:t>
      </w:r>
      <w:r>
        <w:rPr>
          <w:rFonts w:ascii="Calibri" w:hAnsi="Calibri"/>
          <w:sz w:val="22"/>
          <w:szCs w:val="22"/>
        </w:rPr>
        <w:t xml:space="preserve"> 'notice_operations@lists.ercot.com' &lt;</w:t>
      </w:r>
      <w:hyperlink r:id="rId5" w:history="1">
        <w:r>
          <w:rPr>
            <w:rStyle w:val="Hyperlink"/>
            <w:rFonts w:ascii="Calibri" w:hAnsi="Calibri"/>
            <w:sz w:val="22"/>
            <w:szCs w:val="22"/>
          </w:rPr>
          <w:t>notice_operations@lists.ercot.com</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ERCOT Account Managers &lt;</w:t>
      </w:r>
      <w:hyperlink r:id="rId6" w:history="1">
        <w:r>
          <w:rPr>
            <w:rStyle w:val="Hyperlink"/>
            <w:rFonts w:ascii="Calibri" w:hAnsi="Calibri"/>
            <w:sz w:val="22"/>
            <w:szCs w:val="22"/>
          </w:rPr>
          <w:t>ErcotAccountManagers@ercot.com</w:t>
        </w:r>
      </w:hyperlink>
      <w:r>
        <w:rPr>
          <w:rFonts w:ascii="Calibri" w:hAnsi="Calibri"/>
          <w:sz w:val="22"/>
          <w:szCs w:val="22"/>
        </w:rPr>
        <w:t>&gt;; Market Support Services &lt;</w:t>
      </w:r>
      <w:hyperlink r:id="rId7" w:history="1">
        <w:r>
          <w:rPr>
            <w:rStyle w:val="Hyperlink"/>
            <w:rFonts w:ascii="Calibri" w:hAnsi="Calibri"/>
            <w:sz w:val="22"/>
            <w:szCs w:val="22"/>
          </w:rPr>
          <w:t>MarketSupportServices@ercot.com</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W-A092518-01 Effective Date for TSP Use of Interim Update Request Forms Associated with Certain Network Operations Model Changes</w:t>
      </w:r>
    </w:p>
    <w:p w:rsidR="00FE0B18" w:rsidRDefault="00FE0B18" w:rsidP="00FE0B18"/>
    <w:p w:rsidR="00FE0B18" w:rsidRDefault="00FE0B18" w:rsidP="00FE0B18">
      <w:r>
        <w:rPr>
          <w:rStyle w:val="StyleBold"/>
        </w:rPr>
        <w:t>NOTICE DATE:</w:t>
      </w:r>
      <w:r>
        <w:t>  September 25, 2018</w:t>
      </w:r>
    </w:p>
    <w:p w:rsidR="00FE0B18" w:rsidRDefault="00FE0B18" w:rsidP="00FE0B18">
      <w:r>
        <w:rPr>
          <w:rStyle w:val="StyleBold"/>
        </w:rPr>
        <w:t>NOTICE TYPE:</w:t>
      </w:r>
      <w:r>
        <w:t>  W-A092518-01 Operations</w:t>
      </w:r>
    </w:p>
    <w:p w:rsidR="00FE0B18" w:rsidRDefault="00FE0B18" w:rsidP="00FE0B18">
      <w:r>
        <w:rPr>
          <w:rStyle w:val="StyleBold"/>
        </w:rPr>
        <w:t>SHORT DESCRIPTION:</w:t>
      </w:r>
      <w:r>
        <w:t>  Effective Date for TSP Use of Interim Update Request Forms Associated with Certain Network Operations Model Changes</w:t>
      </w:r>
    </w:p>
    <w:p w:rsidR="00FE0B18" w:rsidRDefault="00FE0B18" w:rsidP="00FE0B18">
      <w:r>
        <w:rPr>
          <w:rStyle w:val="StyleBold"/>
        </w:rPr>
        <w:t>INTENDED AUDIENCE:</w:t>
      </w:r>
      <w:r>
        <w:t>  ERCOT TSP Market Participants</w:t>
      </w:r>
    </w:p>
    <w:p w:rsidR="00FE0B18" w:rsidRDefault="00FE0B18" w:rsidP="00FE0B18">
      <w:r>
        <w:rPr>
          <w:rStyle w:val="StyleBold"/>
        </w:rPr>
        <w:t>DAY AFFECTED:</w:t>
      </w:r>
      <w:r>
        <w:t>  November 1, 2018</w:t>
      </w:r>
    </w:p>
    <w:p w:rsidR="00FE0B18" w:rsidRDefault="00FE0B18" w:rsidP="00FE0B18">
      <w:pPr>
        <w:rPr>
          <w:rFonts w:ascii="Calibri" w:hAnsi="Calibri"/>
          <w:sz w:val="22"/>
          <w:szCs w:val="22"/>
        </w:rPr>
      </w:pPr>
      <w:r>
        <w:rPr>
          <w:rStyle w:val="StyleBold"/>
        </w:rPr>
        <w:t>LONG DESCRIPTION:</w:t>
      </w:r>
      <w:r>
        <w:t xml:space="preserve">  Pursuant to Protocol Section 3.10.4, ERCOT Responsibilities, ERCOT has the discretion in certain circumstances to consider an interim update Network Operations Model Change Request (NOMCR) to be processed outside of the timeline described in Protocol Section 3.10.1, Time Line for Network Operations Model Changes.  In an effort to improve the timeliness and accuracy of ERCOT models used by ERCOT to carry out various responsibilities, a few significant modeled items that have high impact are being removed from the list of items that may be considered*** for an interim update if beyond the stated deadline below.  </w:t>
      </w:r>
    </w:p>
    <w:p w:rsidR="00FE0B18" w:rsidRDefault="00FE0B18" w:rsidP="00FE0B18">
      <w:r>
        <w:rPr>
          <w:u w:val="single"/>
        </w:rPr>
        <w:t>Interim Update Restrictions List</w:t>
      </w:r>
      <w:r>
        <w:t>:</w:t>
      </w:r>
    </w:p>
    <w:p w:rsidR="00FE0B18" w:rsidRDefault="00FE0B18" w:rsidP="00FE0B18">
      <w:pPr>
        <w:numPr>
          <w:ilvl w:val="0"/>
          <w:numId w:val="1"/>
        </w:numPr>
        <w:ind w:left="1080"/>
        <w:contextualSpacing/>
      </w:pPr>
      <w:r>
        <w:rPr>
          <w:b/>
          <w:bCs/>
        </w:rPr>
        <w:t>7  items removed from interim update consideration (submittal deadline of Protocol Section 3.10.1 timeline applies)***:</w:t>
      </w:r>
    </w:p>
    <w:p w:rsidR="00FE0B18" w:rsidRDefault="00FE0B18" w:rsidP="00FE0B18">
      <w:pPr>
        <w:numPr>
          <w:ilvl w:val="1"/>
          <w:numId w:val="1"/>
        </w:numPr>
        <w:ind w:left="1800"/>
        <w:contextualSpacing/>
      </w:pPr>
      <w:r>
        <w:t>New paired existing/future modeling where  contingencies need to be created and managed in ERCOT’s model(s) for the time of field transition</w:t>
      </w:r>
    </w:p>
    <w:p w:rsidR="00FE0B18" w:rsidRDefault="00FE0B18" w:rsidP="00FE0B18">
      <w:pPr>
        <w:numPr>
          <w:ilvl w:val="1"/>
          <w:numId w:val="1"/>
        </w:numPr>
        <w:ind w:left="1800"/>
        <w:contextualSpacing/>
      </w:pPr>
      <w:r>
        <w:t>New substation with line-breaker(s) (or substation breaker/line reconfiguration)</w:t>
      </w:r>
    </w:p>
    <w:p w:rsidR="00FE0B18" w:rsidRDefault="00FE0B18" w:rsidP="00FE0B18">
      <w:pPr>
        <w:numPr>
          <w:ilvl w:val="1"/>
          <w:numId w:val="1"/>
        </w:numPr>
        <w:ind w:left="1800"/>
        <w:contextualSpacing/>
      </w:pPr>
      <w:r>
        <w:t>New physical line</w:t>
      </w:r>
    </w:p>
    <w:p w:rsidR="00FE0B18" w:rsidRDefault="00FE0B18" w:rsidP="00FE0B18">
      <w:pPr>
        <w:numPr>
          <w:ilvl w:val="1"/>
          <w:numId w:val="1"/>
        </w:numPr>
        <w:ind w:left="1800"/>
        <w:contextualSpacing/>
      </w:pPr>
      <w:r>
        <w:t>New physical transformer</w:t>
      </w:r>
    </w:p>
    <w:p w:rsidR="00FE0B18" w:rsidRDefault="00FE0B18" w:rsidP="00FE0B18">
      <w:pPr>
        <w:numPr>
          <w:ilvl w:val="1"/>
          <w:numId w:val="1"/>
        </w:numPr>
        <w:ind w:left="1800"/>
        <w:contextualSpacing/>
      </w:pPr>
      <w:r>
        <w:t>TSP equipment (or tap-substation) for new generation with coordinated model-ready date</w:t>
      </w:r>
    </w:p>
    <w:p w:rsidR="00FE0B18" w:rsidRDefault="00FE0B18" w:rsidP="00FE0B18">
      <w:pPr>
        <w:numPr>
          <w:ilvl w:val="1"/>
          <w:numId w:val="1"/>
        </w:numPr>
        <w:ind w:left="1800"/>
        <w:contextualSpacing/>
      </w:pPr>
      <w:r>
        <w:t xml:space="preserve">Synchronous condenser </w:t>
      </w:r>
    </w:p>
    <w:p w:rsidR="00FE0B18" w:rsidRDefault="00FE0B18" w:rsidP="00FE0B18">
      <w:pPr>
        <w:numPr>
          <w:ilvl w:val="1"/>
          <w:numId w:val="1"/>
        </w:numPr>
        <w:ind w:left="1800"/>
        <w:contextualSpacing/>
      </w:pPr>
      <w:r>
        <w:t>Item requiring Resource Node additions/modifications</w:t>
      </w:r>
    </w:p>
    <w:p w:rsidR="00FE0B18" w:rsidRDefault="00FE0B18" w:rsidP="00FE0B18">
      <w:pPr>
        <w:numPr>
          <w:ilvl w:val="0"/>
          <w:numId w:val="1"/>
        </w:numPr>
        <w:ind w:left="1080"/>
        <w:contextualSpacing/>
      </w:pPr>
      <w:r>
        <w:rPr>
          <w:b/>
          <w:bCs/>
        </w:rPr>
        <w:t>3  items considered for interim update processing if meeting submittal deadline of 65 days prior to scheduled database load***:</w:t>
      </w:r>
    </w:p>
    <w:p w:rsidR="00FE0B18" w:rsidRDefault="00FE0B18" w:rsidP="00FE0B18">
      <w:pPr>
        <w:numPr>
          <w:ilvl w:val="1"/>
          <w:numId w:val="1"/>
        </w:numPr>
        <w:ind w:left="1800"/>
        <w:contextualSpacing/>
      </w:pPr>
      <w:r>
        <w:t>New tap station (no line controlling breakers)</w:t>
      </w:r>
    </w:p>
    <w:p w:rsidR="00FE0B18" w:rsidRDefault="00FE0B18" w:rsidP="00FE0B18">
      <w:pPr>
        <w:numPr>
          <w:ilvl w:val="1"/>
          <w:numId w:val="1"/>
        </w:numPr>
        <w:ind w:left="1800"/>
        <w:contextualSpacing/>
      </w:pPr>
      <w:r>
        <w:t>New shunt compensator</w:t>
      </w:r>
    </w:p>
    <w:p w:rsidR="00FE0B18" w:rsidRDefault="00FE0B18" w:rsidP="00FE0B18">
      <w:pPr>
        <w:numPr>
          <w:ilvl w:val="1"/>
          <w:numId w:val="1"/>
        </w:numPr>
        <w:ind w:left="1800"/>
        <w:contextualSpacing/>
      </w:pPr>
      <w:r>
        <w:lastRenderedPageBreak/>
        <w:t xml:space="preserve">New static </w:t>
      </w:r>
      <w:proofErr w:type="spellStart"/>
      <w:r>
        <w:t>VAr</w:t>
      </w:r>
      <w:proofErr w:type="spellEnd"/>
      <w:r>
        <w:t xml:space="preserve"> compensator</w:t>
      </w:r>
    </w:p>
    <w:p w:rsidR="00FE0B18" w:rsidRDefault="00FE0B18" w:rsidP="00FE0B18">
      <w:pPr>
        <w:numPr>
          <w:ilvl w:val="0"/>
          <w:numId w:val="1"/>
        </w:numPr>
        <w:ind w:left="1080"/>
        <w:contextualSpacing/>
      </w:pPr>
      <w:r>
        <w:rPr>
          <w:b/>
          <w:bCs/>
        </w:rPr>
        <w:t>2  items considered for interim update processing if meeting submittal deadline of 20 days prior to scheduled database load***:</w:t>
      </w:r>
    </w:p>
    <w:p w:rsidR="00FE0B18" w:rsidRDefault="00FE0B18" w:rsidP="00FE0B18">
      <w:pPr>
        <w:numPr>
          <w:ilvl w:val="1"/>
          <w:numId w:val="1"/>
        </w:numPr>
        <w:ind w:left="1800"/>
        <w:contextualSpacing/>
      </w:pPr>
      <w:r>
        <w:t xml:space="preserve">Field vs model cleanup (only deletes) </w:t>
      </w:r>
    </w:p>
    <w:p w:rsidR="00FE0B18" w:rsidRDefault="00FE0B18" w:rsidP="00FE0B18">
      <w:pPr>
        <w:numPr>
          <w:ilvl w:val="1"/>
          <w:numId w:val="1"/>
        </w:numPr>
        <w:ind w:left="1800"/>
        <w:contextualSpacing/>
      </w:pPr>
      <w:r>
        <w:t>New load (regardless if it includes new load controlling breaker)</w:t>
      </w:r>
    </w:p>
    <w:p w:rsidR="00FE0B18" w:rsidRDefault="00FE0B18" w:rsidP="00FE0B18">
      <w:pPr>
        <w:spacing w:after="0"/>
        <w:ind w:left="720"/>
        <w:contextualSpacing/>
      </w:pPr>
      <w:r>
        <w:t xml:space="preserve">*** Exceptions:  </w:t>
      </w:r>
    </w:p>
    <w:p w:rsidR="00FE0B18" w:rsidRDefault="00FE0B18" w:rsidP="00FE0B18">
      <w:pPr>
        <w:pStyle w:val="ListParagraph"/>
        <w:numPr>
          <w:ilvl w:val="2"/>
          <w:numId w:val="1"/>
        </w:numPr>
        <w:contextualSpacing/>
      </w:pPr>
      <w:r>
        <w:t xml:space="preserve">If needed to avoid a reliability risk to the ERCOT System, and if in a timeframe that is less than the submittal deadline listed above, the Market Participant shall provide, as an attachment to the change request (NOMCR, CAMR, or ICR): (1) the ERCOT Interim Update Request form, and (2) supporting information for a reliability risk involving these change items that demonstrates that the requested change relieves the reliability risk.  </w:t>
      </w:r>
    </w:p>
    <w:p w:rsidR="00FE0B18" w:rsidRDefault="00FE0B18" w:rsidP="00FE0B18">
      <w:pPr>
        <w:pStyle w:val="ListParagraph"/>
        <w:numPr>
          <w:ilvl w:val="2"/>
          <w:numId w:val="1"/>
        </w:numPr>
        <w:contextualSpacing/>
      </w:pPr>
      <w:r>
        <w:t>In an ERCOT-declared Emergency, interim update restrictions may be temporarily waived.</w:t>
      </w:r>
    </w:p>
    <w:p w:rsidR="00FE0B18" w:rsidRDefault="00FE0B18" w:rsidP="00FE0B18">
      <w:r>
        <w:rPr>
          <w:rStyle w:val="StyleBold"/>
        </w:rPr>
        <w:t>ADDITIONAL INFORMATION:</w:t>
      </w:r>
      <w:r>
        <w:t xml:space="preserve"> TSP Request for Interim Network Model Update form can be downloaded from the ERCOT website</w:t>
      </w:r>
      <w:r>
        <w:rPr>
          <w:color w:val="1F497D"/>
        </w:rPr>
        <w:t xml:space="preserve"> </w:t>
      </w:r>
      <w:hyperlink r:id="rId8" w:history="1">
        <w:r>
          <w:rPr>
            <w:rStyle w:val="Hyperlink"/>
          </w:rPr>
          <w:t>http://www.ercot.com/gridinfo/transmission/opsys-change-schedule</w:t>
        </w:r>
      </w:hyperlink>
      <w:r>
        <w:t>  (available November 1, 2018)</w:t>
      </w:r>
      <w:r>
        <w:rPr>
          <w:color w:val="1F497D"/>
        </w:rPr>
        <w:t>.</w:t>
      </w:r>
      <w:r>
        <w:t>  The contents of this notice and associated requirements were shared with Market Participants through the Network Data Support Working Group (NDSWG). The form and additional information required for interim updates clarify and standardize the documentation used when adding new equipment where an interim update is requested or required.</w:t>
      </w:r>
    </w:p>
    <w:p w:rsidR="00FE0B18" w:rsidRDefault="00FE0B18" w:rsidP="00FE0B18">
      <w:r>
        <w:rPr>
          <w:rStyle w:val="StyleBold"/>
        </w:rPr>
        <w:t>CONTACT:</w:t>
      </w:r>
      <w:r>
        <w:t xml:space="preserve">  If you have any questions, please contact your ERCOT Account Manager. You may also call the general ERCOT Client Services phone number at (512) 248-3900 or contact ERCOT Client Services via email at </w:t>
      </w:r>
      <w:hyperlink r:id="rId9" w:history="1">
        <w:r>
          <w:rPr>
            <w:rStyle w:val="Hyperlink"/>
          </w:rPr>
          <w:t>ClientServices@ercot.com</w:t>
        </w:r>
      </w:hyperlink>
      <w:r>
        <w:t>.</w:t>
      </w:r>
    </w:p>
    <w:p w:rsidR="00FE0B18" w:rsidRDefault="00FE0B18" w:rsidP="00FE0B18">
      <w:pPr>
        <w:rPr>
          <w:sz w:val="20"/>
          <w:szCs w:val="20"/>
        </w:rPr>
      </w:pPr>
      <w:r>
        <w:rPr>
          <w:rStyle w:val="StyleBold"/>
          <w:sz w:val="20"/>
          <w:szCs w:val="20"/>
        </w:rPr>
        <w:t xml:space="preserve">If you are receiving email from a public ERCOT distribution list that you no longer wish to receive, please follow this link in order to unsubscribe from this list: </w:t>
      </w:r>
      <w:hyperlink r:id="rId10" w:history="1">
        <w:r>
          <w:rPr>
            <w:rStyle w:val="Hyperlink"/>
            <w:sz w:val="20"/>
            <w:szCs w:val="20"/>
          </w:rPr>
          <w:t>http://lists.ercot.com</w:t>
        </w:r>
      </w:hyperlink>
      <w:r>
        <w:rPr>
          <w:sz w:val="20"/>
          <w:szCs w:val="20"/>
        </w:rPr>
        <w:t>.</w:t>
      </w:r>
    </w:p>
    <w:p w:rsidR="00FE0B18" w:rsidRDefault="00FE0B18" w:rsidP="00FE0B18">
      <w:pPr>
        <w:rPr>
          <w:sz w:val="20"/>
          <w:szCs w:val="20"/>
        </w:rPr>
      </w:pPr>
    </w:p>
    <w:p w:rsidR="00FE0B18" w:rsidRDefault="00FE0B18" w:rsidP="00FE0B18">
      <w:pPr>
        <w:rPr>
          <w:sz w:val="20"/>
          <w:szCs w:val="20"/>
        </w:rPr>
      </w:pPr>
    </w:p>
    <w:p w:rsidR="00FE0B18" w:rsidRDefault="00FE0B18" w:rsidP="00FE0B18">
      <w:pPr>
        <w:rPr>
          <w:sz w:val="20"/>
          <w:szCs w:val="20"/>
        </w:rPr>
      </w:pPr>
      <w:proofErr w:type="spellStart"/>
      <w:proofErr w:type="gramStart"/>
      <w:r>
        <w:rPr>
          <w:sz w:val="20"/>
          <w:szCs w:val="20"/>
        </w:rPr>
        <w:t>nb</w:t>
      </w:r>
      <w:proofErr w:type="spellEnd"/>
      <w:proofErr w:type="gramEnd"/>
    </w:p>
    <w:p w:rsidR="00FE0B18" w:rsidRDefault="00FE0B18" w:rsidP="00FE0B18">
      <w:pPr>
        <w:rPr>
          <w:rFonts w:ascii="Calibri" w:hAnsi="Calibri"/>
          <w:sz w:val="22"/>
          <w:szCs w:val="22"/>
        </w:rPr>
      </w:pPr>
    </w:p>
    <w:p w:rsidR="00E53371" w:rsidRDefault="00E53371">
      <w:bookmarkStart w:id="0" w:name="_GoBack"/>
      <w:bookmarkEnd w:id="0"/>
    </w:p>
    <w:sectPr w:rsidR="00E53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33EB8"/>
    <w:multiLevelType w:val="hybridMultilevel"/>
    <w:tmpl w:val="C41AD230"/>
    <w:lvl w:ilvl="0" w:tplc="330E2B02">
      <w:start w:val="1"/>
      <w:numFmt w:val="bullet"/>
      <w:lvlText w:val="•"/>
      <w:lvlJc w:val="left"/>
      <w:pPr>
        <w:tabs>
          <w:tab w:val="num" w:pos="720"/>
        </w:tabs>
        <w:ind w:left="720" w:hanging="360"/>
      </w:pPr>
      <w:rPr>
        <w:rFonts w:ascii="Arial" w:hAnsi="Arial" w:cs="Times New Roman" w:hint="default"/>
      </w:rPr>
    </w:lvl>
    <w:lvl w:ilvl="1" w:tplc="374474F0">
      <w:start w:val="44"/>
      <w:numFmt w:val="bullet"/>
      <w:lvlText w:val="–"/>
      <w:lvlJc w:val="left"/>
      <w:pPr>
        <w:tabs>
          <w:tab w:val="num" w:pos="1440"/>
        </w:tabs>
        <w:ind w:left="1440" w:hanging="360"/>
      </w:pPr>
      <w:rPr>
        <w:rFonts w:ascii="Arial" w:hAnsi="Arial" w:cs="Times New Roman" w:hint="default"/>
      </w:rPr>
    </w:lvl>
    <w:lvl w:ilvl="2" w:tplc="9858EEC2">
      <w:start w:val="1"/>
      <w:numFmt w:val="bullet"/>
      <w:lvlText w:val="•"/>
      <w:lvlJc w:val="left"/>
      <w:pPr>
        <w:tabs>
          <w:tab w:val="num" w:pos="2160"/>
        </w:tabs>
        <w:ind w:left="2160" w:hanging="360"/>
      </w:pPr>
      <w:rPr>
        <w:rFonts w:ascii="Arial" w:hAnsi="Arial" w:cs="Times New Roman" w:hint="default"/>
      </w:rPr>
    </w:lvl>
    <w:lvl w:ilvl="3" w:tplc="314A4FE4">
      <w:start w:val="1"/>
      <w:numFmt w:val="bullet"/>
      <w:lvlText w:val="•"/>
      <w:lvlJc w:val="left"/>
      <w:pPr>
        <w:tabs>
          <w:tab w:val="num" w:pos="2880"/>
        </w:tabs>
        <w:ind w:left="2880" w:hanging="360"/>
      </w:pPr>
      <w:rPr>
        <w:rFonts w:ascii="Arial" w:hAnsi="Arial" w:cs="Times New Roman" w:hint="default"/>
      </w:rPr>
    </w:lvl>
    <w:lvl w:ilvl="4" w:tplc="5F909D7A">
      <w:start w:val="1"/>
      <w:numFmt w:val="bullet"/>
      <w:lvlText w:val="•"/>
      <w:lvlJc w:val="left"/>
      <w:pPr>
        <w:tabs>
          <w:tab w:val="num" w:pos="3600"/>
        </w:tabs>
        <w:ind w:left="3600" w:hanging="360"/>
      </w:pPr>
      <w:rPr>
        <w:rFonts w:ascii="Arial" w:hAnsi="Arial" w:cs="Times New Roman" w:hint="default"/>
      </w:rPr>
    </w:lvl>
    <w:lvl w:ilvl="5" w:tplc="0056244C">
      <w:start w:val="1"/>
      <w:numFmt w:val="bullet"/>
      <w:lvlText w:val="•"/>
      <w:lvlJc w:val="left"/>
      <w:pPr>
        <w:tabs>
          <w:tab w:val="num" w:pos="4320"/>
        </w:tabs>
        <w:ind w:left="4320" w:hanging="360"/>
      </w:pPr>
      <w:rPr>
        <w:rFonts w:ascii="Arial" w:hAnsi="Arial" w:cs="Times New Roman" w:hint="default"/>
      </w:rPr>
    </w:lvl>
    <w:lvl w:ilvl="6" w:tplc="FB5696AE">
      <w:start w:val="1"/>
      <w:numFmt w:val="bullet"/>
      <w:lvlText w:val="•"/>
      <w:lvlJc w:val="left"/>
      <w:pPr>
        <w:tabs>
          <w:tab w:val="num" w:pos="5040"/>
        </w:tabs>
        <w:ind w:left="5040" w:hanging="360"/>
      </w:pPr>
      <w:rPr>
        <w:rFonts w:ascii="Arial" w:hAnsi="Arial" w:cs="Times New Roman" w:hint="default"/>
      </w:rPr>
    </w:lvl>
    <w:lvl w:ilvl="7" w:tplc="174624CE">
      <w:start w:val="1"/>
      <w:numFmt w:val="bullet"/>
      <w:lvlText w:val="•"/>
      <w:lvlJc w:val="left"/>
      <w:pPr>
        <w:tabs>
          <w:tab w:val="num" w:pos="5760"/>
        </w:tabs>
        <w:ind w:left="5760" w:hanging="360"/>
      </w:pPr>
      <w:rPr>
        <w:rFonts w:ascii="Arial" w:hAnsi="Arial" w:cs="Times New Roman" w:hint="default"/>
      </w:rPr>
    </w:lvl>
    <w:lvl w:ilvl="8" w:tplc="6648719E">
      <w:start w:val="1"/>
      <w:numFmt w:val="bullet"/>
      <w:lvlText w:val="•"/>
      <w:lvlJc w:val="left"/>
      <w:pPr>
        <w:tabs>
          <w:tab w:val="num" w:pos="6480"/>
        </w:tabs>
        <w:ind w:left="6480" w:hanging="360"/>
      </w:pPr>
      <w:rPr>
        <w:rFonts w:ascii="Arial" w:hAnsi="Arial" w:cs="Times New Roman"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18"/>
    <w:rsid w:val="00E53371"/>
    <w:rsid w:val="00F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B5E2B-8F16-457B-890D-0007D761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B18"/>
    <w:pPr>
      <w:spacing w:after="24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0B18"/>
    <w:rPr>
      <w:color w:val="0563C1"/>
      <w:u w:val="single"/>
    </w:rPr>
  </w:style>
  <w:style w:type="paragraph" w:styleId="ListParagraph">
    <w:name w:val="List Paragraph"/>
    <w:basedOn w:val="Normal"/>
    <w:uiPriority w:val="34"/>
    <w:qFormat/>
    <w:rsid w:val="00FE0B18"/>
    <w:pPr>
      <w:ind w:left="720"/>
    </w:pPr>
  </w:style>
  <w:style w:type="character" w:customStyle="1" w:styleId="StyleBold">
    <w:name w:val="Style Bold"/>
    <w:basedOn w:val="DefaultParagraphFont"/>
    <w:rsid w:val="00FE0B18"/>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gridinfo/transmission/opsys-change-schedule" TargetMode="External"/><Relationship Id="rId3" Type="http://schemas.openxmlformats.org/officeDocument/2006/relationships/settings" Target="settings.xml"/><Relationship Id="rId7" Type="http://schemas.openxmlformats.org/officeDocument/2006/relationships/hyperlink" Target="mailto:MarketSupportServices@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cotAccountManagers@ercot.com" TargetMode="External"/><Relationship Id="rId11" Type="http://schemas.openxmlformats.org/officeDocument/2006/relationships/fontTable" Target="fontTable.xml"/><Relationship Id="rId5" Type="http://schemas.openxmlformats.org/officeDocument/2006/relationships/hyperlink" Target="mailto:notice_operations@lists.ercot.com" TargetMode="External"/><Relationship Id="rId10" Type="http://schemas.openxmlformats.org/officeDocument/2006/relationships/hyperlink" Target="http://lists.ercot.com" TargetMode="External"/><Relationship Id="rId4" Type="http://schemas.openxmlformats.org/officeDocument/2006/relationships/webSettings" Target="webSettings.xml"/><Relationship Id="rId9" Type="http://schemas.openxmlformats.org/officeDocument/2006/relationships/hyperlink" Target="mailto:ClientService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Weatherly, Joe</dc:creator>
  <cp:keywords/>
  <dc:description/>
  <cp:lastModifiedBy>Weatherly, Joe</cp:lastModifiedBy>
  <cp:revision>1</cp:revision>
  <dcterms:created xsi:type="dcterms:W3CDTF">2018-10-18T15:38:00Z</dcterms:created>
  <dcterms:modified xsi:type="dcterms:W3CDTF">2018-10-18T15:40:00Z</dcterms:modified>
</cp:coreProperties>
</file>