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3"/>
        <w:tblpPr w:leftFromText="180" w:rightFromText="180" w:vertAnchor="page" w:horzAnchor="margin" w:tblpX="-709" w:tblpY="759"/>
        <w:tblW w:w="5328" w:type="pct"/>
        <w:tblLayout w:type="fixed"/>
        <w:tblLook w:val="0600" w:firstRow="0" w:lastRow="0" w:firstColumn="0" w:lastColumn="0" w:noHBand="1" w:noVBand="1"/>
        <w:tblDescription w:val="Header layout table"/>
      </w:tblPr>
      <w:tblGrid>
        <w:gridCol w:w="11508"/>
      </w:tblGrid>
      <w:tr w:rsidR="00A66B18" w:rsidRPr="002B6532" w14:paraId="72057BEC" w14:textId="77777777" w:rsidTr="00231EC1">
        <w:trPr>
          <w:trHeight w:val="270"/>
        </w:trPr>
        <w:tc>
          <w:tcPr>
            <w:tcW w:w="11508" w:type="dxa"/>
          </w:tcPr>
          <w:p w14:paraId="72057BEB" w14:textId="05E2AC43" w:rsidR="00A66B18" w:rsidRPr="00A2771C" w:rsidRDefault="00163972" w:rsidP="00367A31">
            <w:pPr>
              <w:pStyle w:val="Title"/>
              <w:rPr>
                <w:b/>
                <w:color w:val="262B31"/>
              </w:rPr>
            </w:pPr>
            <w:r>
              <w:rPr>
                <w:b/>
                <w:color w:val="E2231A"/>
              </w:rPr>
              <w:t>Texas SET Request</w:t>
            </w:r>
          </w:p>
        </w:tc>
      </w:tr>
      <w:tr w:rsidR="007E7F36" w:rsidRPr="002B6532" w14:paraId="72057BEE" w14:textId="77777777" w:rsidTr="00231EC1">
        <w:trPr>
          <w:trHeight w:val="630"/>
        </w:trPr>
        <w:tc>
          <w:tcPr>
            <w:tcW w:w="11508" w:type="dxa"/>
          </w:tcPr>
          <w:p w14:paraId="72057BED" w14:textId="77777777" w:rsidR="007E7F36" w:rsidRPr="000373BD" w:rsidRDefault="000373BD" w:rsidP="00367A31">
            <w:pPr>
              <w:pStyle w:val="ContactInfo"/>
              <w:ind w:left="720"/>
              <w:rPr>
                <w:color w:val="262B31"/>
              </w:rPr>
            </w:pPr>
            <w:r w:rsidRPr="00245CF4">
              <w:rPr>
                <w:noProof/>
                <w:lang w:val="en-AU" w:eastAsia="en-AU"/>
              </w:rPr>
              <mc:AlternateContent>
                <mc:Choice Requires="wps">
                  <w:drawing>
                    <wp:anchor distT="0" distB="0" distL="114300" distR="114300" simplePos="0" relativeHeight="251659264" behindDoc="0" locked="0" layoutInCell="1" allowOverlap="1" wp14:anchorId="72057C16" wp14:editId="72057C17">
                      <wp:simplePos x="0" y="0"/>
                      <wp:positionH relativeFrom="margin">
                        <wp:posOffset>448945</wp:posOffset>
                      </wp:positionH>
                      <wp:positionV relativeFrom="paragraph">
                        <wp:posOffset>30480</wp:posOffset>
                      </wp:positionV>
                      <wp:extent cx="6827520" cy="38047"/>
                      <wp:effectExtent l="0" t="0" r="30480" b="19685"/>
                      <wp:wrapNone/>
                      <wp:docPr id="3" name="Straight Connector 3"/>
                      <wp:cNvGraphicFramePr/>
                      <a:graphic xmlns:a="http://schemas.openxmlformats.org/drawingml/2006/main">
                        <a:graphicData uri="http://schemas.microsoft.com/office/word/2010/wordprocessingShape">
                          <wps:wsp>
                            <wps:cNvCnPr/>
                            <wps:spPr>
                              <a:xfrm flipV="1">
                                <a:off x="0" y="0"/>
                                <a:ext cx="6827520" cy="38047"/>
                              </a:xfrm>
                              <a:prstGeom prst="line">
                                <a:avLst/>
                              </a:prstGeom>
                              <a:ln w="3175">
                                <a:solidFill>
                                  <a:schemeClr val="bg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4FE4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35pt,2.4pt" to="57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" strokecolor="#dcddde [668]" strokeweight=".25pt">
                      <v:stroke endcap="round"/>
                      <w10:wrap anchorx="margin"/>
                    </v:line>
                  </w:pict>
                </mc:Fallback>
              </mc:AlternateContent>
            </w:r>
          </w:p>
        </w:tc>
      </w:tr>
    </w:tbl>
    <w:p w14:paraId="72057C14" w14:textId="59581D71" w:rsidR="007E7F36" w:rsidRPr="002B6532" w:rsidRDefault="00163972" w:rsidP="00861A52">
      <w:pPr>
        <w:pStyle w:val="Heading2"/>
        <w:ind w:left="0"/>
      </w:pPr>
      <w:r>
        <w:t>SAC04 Documentation</w:t>
      </w:r>
      <w:bookmarkStart w:id="0" w:name="_GoBack"/>
      <w:bookmarkEnd w:id="0"/>
    </w:p>
    <w:p w14:paraId="72057C15" w14:textId="4C2C7CA4" w:rsidR="00A66B18" w:rsidRDefault="00163972" w:rsidP="009D559F">
      <w:pPr>
        <w:ind w:left="0"/>
      </w:pPr>
      <w:r>
        <w:t>We would like to request the following improvements to the SAC04 Documentation for the charge codes that are used in the Texas market.</w:t>
      </w:r>
    </w:p>
    <w:p w14:paraId="10DF0AB3" w14:textId="6FCFF0EF" w:rsidR="00163972" w:rsidRPr="002B6532" w:rsidRDefault="00163972" w:rsidP="00163972">
      <w:pPr>
        <w:pStyle w:val="Heading2"/>
        <w:ind w:left="0"/>
      </w:pPr>
      <w:r>
        <w:t>Spanish Translations</w:t>
      </w:r>
    </w:p>
    <w:p w14:paraId="61B688ED" w14:textId="391D6064" w:rsidR="00163972" w:rsidRDefault="00163972" w:rsidP="00163972">
      <w:pPr>
        <w:ind w:left="0"/>
      </w:pPr>
      <w:r>
        <w:t xml:space="preserve">The Commission recently removed offers from </w:t>
      </w:r>
      <w:proofErr w:type="spellStart"/>
      <w:r>
        <w:t>PowerToChoose</w:t>
      </w:r>
      <w:proofErr w:type="spellEnd"/>
      <w:r>
        <w:t xml:space="preserve"> that did not have Spanish equivalents, so they are clearly in support of ensuring that the market works properly for Spanish-speaking customers as well as English-speaking customers.  </w:t>
      </w:r>
    </w:p>
    <w:p w14:paraId="37079C2B" w14:textId="4007DE79" w:rsidR="00163972" w:rsidRDefault="00163972" w:rsidP="00163972">
      <w:pPr>
        <w:ind w:left="0"/>
      </w:pPr>
      <w:r>
        <w:t xml:space="preserve">The Texas SET SAC04 EDI Codes are currently displayed in English only, which then requires over 100 REPs to translate the information into Spanish which results in </w:t>
      </w:r>
      <w:proofErr w:type="gramStart"/>
      <w:r>
        <w:t>a large number of</w:t>
      </w:r>
      <w:proofErr w:type="gramEnd"/>
      <w:r>
        <w:t xml:space="preserve"> variations of the text.  </w:t>
      </w:r>
    </w:p>
    <w:p w14:paraId="5DA9B595" w14:textId="7CACE814" w:rsidR="00163972" w:rsidRDefault="00163972" w:rsidP="00163972">
      <w:pPr>
        <w:ind w:left="0"/>
      </w:pPr>
      <w:r>
        <w:t xml:space="preserve">I would like to recommend that Texas SET document both the English and Spanish charge descriptions so that there is consistency amongst market participants.  All REPs who participate in Texas SET have some version of the translation available, so several parties could submit their translations and where different, an analysis could be done to ensure the proper translation is shown. </w:t>
      </w:r>
    </w:p>
    <w:p w14:paraId="7ADCD2C3" w14:textId="7EF9800D" w:rsidR="00163972" w:rsidRDefault="00163972" w:rsidP="00163972">
      <w:pPr>
        <w:pStyle w:val="Heading2"/>
        <w:ind w:left="0"/>
      </w:pPr>
      <w:r>
        <w:t>Using Single Code for Multiple Purposes</w:t>
      </w:r>
    </w:p>
    <w:p w14:paraId="44B273F9" w14:textId="6930E258" w:rsidR="00163972" w:rsidRDefault="00163972" w:rsidP="00163972">
      <w:pPr>
        <w:ind w:left="0"/>
      </w:pPr>
      <w:r>
        <w:t xml:space="preserve">Because the utilities are not obligated to send Spanish via EDI, the text in the SAC15 is great for a visual review and may be used for English charge </w:t>
      </w:r>
      <w:proofErr w:type="gramStart"/>
      <w:r>
        <w:t>lines, but</w:t>
      </w:r>
      <w:proofErr w:type="gramEnd"/>
      <w:r>
        <w:t xml:space="preserve"> cannot be used for Spanish bills.  </w:t>
      </w:r>
    </w:p>
    <w:p w14:paraId="1B63A73A" w14:textId="0C6AD7A0" w:rsidR="00163972" w:rsidRDefault="00D545CB" w:rsidP="00163972">
      <w:pPr>
        <w:ind w:left="0"/>
      </w:pPr>
      <w:r>
        <w:t>Different TDSPs use the same code for different reasons, but there are also credits where the TDSP uses the same code for two different purposes.  How is the supplier expected to provide the proper Spanish translation?</w:t>
      </w:r>
      <w:r w:rsidR="00163972">
        <w:t xml:space="preserve">  </w:t>
      </w:r>
    </w:p>
    <w:p w14:paraId="79DEC527" w14:textId="44C2652E" w:rsidR="00BA1178" w:rsidRDefault="00BA1178" w:rsidP="00163972">
      <w:pPr>
        <w:ind w:left="0"/>
      </w:pPr>
      <w:r>
        <w:t>For Oncor’s MSC049, is the expectation that RCE46957 be printed on the bill for both English and Spanish?</w:t>
      </w:r>
    </w:p>
    <w:p w14:paraId="2F7BE08C" w14:textId="77777777" w:rsidR="00D545CB" w:rsidRDefault="00D545CB" w:rsidP="00D545CB">
      <w:pPr>
        <w:spacing w:before="0" w:after="0"/>
        <w:ind w:left="0"/>
        <w:rPr>
          <w:rFonts w:ascii="Verdana" w:hAnsi="Verdana"/>
          <w:color w:val="333333"/>
          <w:sz w:val="16"/>
          <w:szCs w:val="16"/>
        </w:rPr>
      </w:pPr>
      <w:r w:rsidRPr="00D545CB">
        <w:rPr>
          <w:rFonts w:ascii="Verdana" w:hAnsi="Verdana"/>
          <w:b/>
          <w:color w:val="333333"/>
          <w:sz w:val="16"/>
          <w:szCs w:val="16"/>
        </w:rPr>
        <w:t>ONCOR</w:t>
      </w:r>
      <w:r>
        <w:rPr>
          <w:rFonts w:ascii="Verdana" w:hAnsi="Verdana"/>
          <w:color w:val="333333"/>
          <w:sz w:val="16"/>
          <w:szCs w:val="16"/>
        </w:rPr>
        <w:t>:</w:t>
      </w:r>
    </w:p>
    <w:p w14:paraId="1C8D87DB" w14:textId="259DBD82" w:rsidR="00D545CB" w:rsidRDefault="00D545CB" w:rsidP="00163972">
      <w:pPr>
        <w:ind w:left="0"/>
      </w:pPr>
      <w:r>
        <w:rPr>
          <w:rFonts w:ascii="Verdana" w:hAnsi="Verdana"/>
          <w:color w:val="333333"/>
          <w:sz w:val="16"/>
          <w:szCs w:val="16"/>
        </w:rPr>
        <w:t>SAC*C**EU*TRN002*18003***0.762847*K1*236*****TRANSMISSION COST RECOVERY FACTOR</w:t>
      </w:r>
      <w:r>
        <w:rPr>
          <w:rFonts w:ascii="Verdana" w:hAnsi="Verdana"/>
          <w:color w:val="333333"/>
          <w:sz w:val="16"/>
          <w:szCs w:val="16"/>
        </w:rPr>
        <w:br/>
        <w:t>SAC*C**EU*BAS003*4100***41*EA*1*****METERING CHARGE</w:t>
      </w:r>
      <w:r>
        <w:rPr>
          <w:rFonts w:ascii="Verdana" w:hAnsi="Verdana"/>
          <w:color w:val="333333"/>
          <w:sz w:val="16"/>
          <w:szCs w:val="16"/>
        </w:rPr>
        <w:br/>
        <w:t>SAC*C**EU*MSC025*1224***0.048*RA*255*236****NUCLEAR DECOMMISSIONING CHARGE</w:t>
      </w:r>
      <w:r>
        <w:rPr>
          <w:rFonts w:ascii="Verdana" w:hAnsi="Verdana"/>
          <w:color w:val="333333"/>
          <w:sz w:val="16"/>
          <w:szCs w:val="16"/>
        </w:rPr>
        <w:br/>
        <w:t>SAC*C**EU*BAS001*1497***14.97*EA*1*****CUSTOMER CHARGE</w:t>
      </w:r>
      <w:r>
        <w:rPr>
          <w:rFonts w:ascii="Verdana" w:hAnsi="Verdana"/>
          <w:color w:val="333333"/>
          <w:sz w:val="16"/>
          <w:szCs w:val="16"/>
        </w:rPr>
        <w:br/>
        <w:t>SAC*C**EU*DIS001*100597***3.944984*RA*255*236****DISTRIBUTION SYSTEM CHARGE</w:t>
      </w:r>
      <w:r>
        <w:rPr>
          <w:rFonts w:ascii="Verdana" w:hAnsi="Verdana"/>
          <w:color w:val="333333"/>
          <w:sz w:val="16"/>
          <w:szCs w:val="16"/>
        </w:rPr>
        <w:br/>
        <w:t>SAC*C**EU*MSC049*230***0.009008*RA*255*236****</w:t>
      </w:r>
      <w:r w:rsidRPr="00BA1178">
        <w:rPr>
          <w:rFonts w:ascii="Verdana" w:hAnsi="Verdana"/>
          <w:b/>
          <w:color w:val="0070C0"/>
          <w:sz w:val="16"/>
          <w:szCs w:val="16"/>
        </w:rPr>
        <w:t>RCE46957</w:t>
      </w:r>
      <w:r>
        <w:rPr>
          <w:rFonts w:ascii="Verdana" w:hAnsi="Verdana"/>
          <w:color w:val="333333"/>
          <w:sz w:val="16"/>
          <w:szCs w:val="16"/>
        </w:rPr>
        <w:br/>
        <w:t>SAC*C**EU*</w:t>
      </w:r>
      <w:r w:rsidRPr="00BA1178">
        <w:rPr>
          <w:rFonts w:ascii="Verdana" w:hAnsi="Verdana"/>
          <w:b/>
          <w:color w:val="C00000"/>
          <w:sz w:val="16"/>
          <w:szCs w:val="16"/>
        </w:rPr>
        <w:t>CRE031</w:t>
      </w:r>
      <w:r>
        <w:rPr>
          <w:rFonts w:ascii="Verdana" w:hAnsi="Verdana"/>
          <w:color w:val="333333"/>
          <w:sz w:val="16"/>
          <w:szCs w:val="16"/>
        </w:rPr>
        <w:t>*-1415***-0.055473*RA*255*236****</w:t>
      </w:r>
      <w:r w:rsidRPr="00BA1178">
        <w:rPr>
          <w:rFonts w:ascii="Verdana" w:hAnsi="Verdana"/>
          <w:b/>
          <w:color w:val="C00000"/>
          <w:sz w:val="16"/>
          <w:szCs w:val="16"/>
        </w:rPr>
        <w:t>CAPITAL STRUCTURE REFUND</w:t>
      </w:r>
    </w:p>
    <w:p w14:paraId="438206FA" w14:textId="77777777" w:rsidR="00BA1178" w:rsidRDefault="00BA1178" w:rsidP="00D545CB">
      <w:pPr>
        <w:spacing w:before="0" w:after="0"/>
        <w:ind w:left="0"/>
        <w:rPr>
          <w:rFonts w:ascii="Verdana" w:hAnsi="Verdana"/>
          <w:b/>
          <w:color w:val="333333"/>
          <w:sz w:val="16"/>
          <w:szCs w:val="16"/>
        </w:rPr>
      </w:pPr>
    </w:p>
    <w:p w14:paraId="3DE3202C" w14:textId="0EFE0E94" w:rsidR="00D545CB" w:rsidRPr="00D545CB" w:rsidRDefault="00D545CB" w:rsidP="00D545CB">
      <w:pPr>
        <w:spacing w:before="0" w:after="0"/>
        <w:ind w:left="0"/>
        <w:rPr>
          <w:rFonts w:ascii="Verdana" w:hAnsi="Verdana"/>
          <w:b/>
          <w:color w:val="333333"/>
          <w:sz w:val="16"/>
          <w:szCs w:val="16"/>
        </w:rPr>
      </w:pPr>
      <w:r w:rsidRPr="00D545CB">
        <w:rPr>
          <w:rFonts w:ascii="Verdana" w:hAnsi="Verdana"/>
          <w:b/>
          <w:color w:val="333333"/>
          <w:sz w:val="16"/>
          <w:szCs w:val="16"/>
        </w:rPr>
        <w:lastRenderedPageBreak/>
        <w:t>CENTERPOINT</w:t>
      </w:r>
      <w:r w:rsidRPr="00D545CB">
        <w:rPr>
          <w:rFonts w:ascii="Verdana" w:hAnsi="Verdana"/>
          <w:color w:val="333333"/>
          <w:sz w:val="16"/>
          <w:szCs w:val="16"/>
        </w:rPr>
        <w:t>:</w:t>
      </w:r>
    </w:p>
    <w:p w14:paraId="60A05297" w14:textId="572C9A1F" w:rsidR="00D545CB" w:rsidRPr="00163972" w:rsidRDefault="00D545CB" w:rsidP="00163972">
      <w:pPr>
        <w:ind w:left="0"/>
      </w:pPr>
      <w:r>
        <w:rPr>
          <w:rFonts w:ascii="Verdana" w:hAnsi="Verdana"/>
          <w:color w:val="333333"/>
          <w:sz w:val="16"/>
          <w:szCs w:val="16"/>
        </w:rPr>
        <w:t>SAC*C**EU*ODL004*56848***12.92*EA*44*****STREET LIGHTING</w:t>
      </w:r>
      <w:r>
        <w:rPr>
          <w:rFonts w:ascii="Verdana" w:hAnsi="Verdana"/>
          <w:color w:val="333333"/>
          <w:sz w:val="16"/>
          <w:szCs w:val="16"/>
        </w:rPr>
        <w:br/>
        <w:t>SAC*C**EU*MSC025*1***.000004*KH*1672*****NUCLEAR DECOMMISSIONING CHARGE</w:t>
      </w:r>
      <w:r>
        <w:rPr>
          <w:rFonts w:ascii="Verdana" w:hAnsi="Verdana"/>
          <w:color w:val="333333"/>
          <w:sz w:val="16"/>
          <w:szCs w:val="16"/>
        </w:rPr>
        <w:br/>
        <w:t>SAC*C**EU*MSC042*2102***.012569*KH*1672*****DISTRIBUTION COST RECOVERY FACTOR</w:t>
      </w:r>
      <w:r>
        <w:rPr>
          <w:rFonts w:ascii="Verdana" w:hAnsi="Verdana"/>
          <w:color w:val="333333"/>
          <w:sz w:val="16"/>
          <w:szCs w:val="16"/>
        </w:rPr>
        <w:br/>
        <w:t>SAC*C**EU*</w:t>
      </w:r>
      <w:r w:rsidRPr="00BA1178">
        <w:rPr>
          <w:rFonts w:ascii="Verdana" w:hAnsi="Verdana"/>
          <w:b/>
          <w:color w:val="C00000"/>
          <w:sz w:val="16"/>
          <w:szCs w:val="16"/>
        </w:rPr>
        <w:t>CRE031</w:t>
      </w:r>
      <w:r>
        <w:rPr>
          <w:rFonts w:ascii="Verdana" w:hAnsi="Verdana"/>
          <w:color w:val="333333"/>
          <w:sz w:val="16"/>
          <w:szCs w:val="16"/>
        </w:rPr>
        <w:t>*-334***-.001999*KH*1672*****</w:t>
      </w:r>
      <w:r w:rsidRPr="00BA1178">
        <w:rPr>
          <w:rFonts w:ascii="Verdana" w:hAnsi="Verdana"/>
          <w:b/>
          <w:color w:val="C00000"/>
          <w:sz w:val="16"/>
          <w:szCs w:val="16"/>
        </w:rPr>
        <w:t>ACCUMULATED DEFERRED FEDERAL INCOME TAX</w:t>
      </w:r>
      <w:r>
        <w:rPr>
          <w:rFonts w:ascii="Verdana" w:hAnsi="Verdana"/>
          <w:color w:val="333333"/>
          <w:sz w:val="16"/>
          <w:szCs w:val="16"/>
        </w:rPr>
        <w:br/>
        <w:t>SAC*C**EU*MSC036*555***.003317*KH*1672*****TRANSITION CHARGE 2</w:t>
      </w:r>
      <w:r>
        <w:rPr>
          <w:rFonts w:ascii="Verdana" w:hAnsi="Verdana"/>
          <w:color w:val="333333"/>
          <w:sz w:val="16"/>
          <w:szCs w:val="16"/>
        </w:rPr>
        <w:br/>
        <w:t>SAC*C**EU*MSC037*87***.000521*KH*1672*****TRANSITION CHARGE 3</w:t>
      </w:r>
      <w:r>
        <w:rPr>
          <w:rFonts w:ascii="Verdana" w:hAnsi="Verdana"/>
          <w:color w:val="333333"/>
          <w:sz w:val="16"/>
          <w:szCs w:val="16"/>
        </w:rPr>
        <w:br/>
        <w:t>SAC*C**EU*MSC038*3855***.023057*KH*1672*****TRANSITION CHARGE 4</w:t>
      </w:r>
      <w:r>
        <w:rPr>
          <w:rFonts w:ascii="Verdana" w:hAnsi="Verdana"/>
          <w:color w:val="333333"/>
          <w:sz w:val="16"/>
          <w:szCs w:val="16"/>
        </w:rPr>
        <w:br/>
        <w:t>SAC*C**EU*MSC043*400***.002394*KH*1672*****TRANSITION CHARGE 5</w:t>
      </w:r>
    </w:p>
    <w:p w14:paraId="374ABC7C" w14:textId="77777777" w:rsidR="00D545CB" w:rsidRPr="00D545CB" w:rsidRDefault="00D545CB" w:rsidP="00D545CB">
      <w:pPr>
        <w:spacing w:before="0" w:after="0"/>
        <w:ind w:left="0"/>
        <w:rPr>
          <w:rFonts w:ascii="Verdana" w:hAnsi="Verdana"/>
          <w:b/>
          <w:color w:val="333333"/>
          <w:sz w:val="16"/>
          <w:szCs w:val="16"/>
        </w:rPr>
      </w:pPr>
      <w:r w:rsidRPr="00D545CB">
        <w:rPr>
          <w:rFonts w:ascii="Verdana" w:hAnsi="Verdana"/>
          <w:b/>
          <w:color w:val="333333"/>
          <w:sz w:val="16"/>
          <w:szCs w:val="16"/>
        </w:rPr>
        <w:t>CENTERPOINT</w:t>
      </w:r>
      <w:r w:rsidRPr="00D545CB">
        <w:rPr>
          <w:rFonts w:ascii="Verdana" w:hAnsi="Verdana"/>
          <w:color w:val="333333"/>
          <w:sz w:val="16"/>
          <w:szCs w:val="16"/>
        </w:rPr>
        <w:t>:</w:t>
      </w:r>
    </w:p>
    <w:p w14:paraId="10504D77" w14:textId="4A1E5A23" w:rsidR="00163972" w:rsidRDefault="00D545CB" w:rsidP="00163972">
      <w:pPr>
        <w:ind w:left="0"/>
        <w:rPr>
          <w:rFonts w:ascii="Verdana" w:hAnsi="Verdana"/>
          <w:color w:val="333333"/>
          <w:sz w:val="16"/>
          <w:szCs w:val="16"/>
        </w:rPr>
      </w:pPr>
      <w:r>
        <w:rPr>
          <w:rFonts w:ascii="Verdana" w:hAnsi="Verdana"/>
          <w:color w:val="333333"/>
          <w:sz w:val="16"/>
          <w:szCs w:val="16"/>
        </w:rPr>
        <w:t>SAC*C**EU*</w:t>
      </w:r>
      <w:r w:rsidRPr="00BA1178">
        <w:rPr>
          <w:rFonts w:ascii="Verdana" w:hAnsi="Verdana"/>
          <w:b/>
          <w:color w:val="C00000"/>
          <w:sz w:val="16"/>
          <w:szCs w:val="16"/>
        </w:rPr>
        <w:t>CRE031</w:t>
      </w:r>
      <w:r>
        <w:rPr>
          <w:rFonts w:ascii="Verdana" w:hAnsi="Verdana"/>
          <w:color w:val="333333"/>
          <w:sz w:val="16"/>
          <w:szCs w:val="16"/>
        </w:rPr>
        <w:t>*-27***-.00021293*KH*1268*****</w:t>
      </w:r>
      <w:r w:rsidRPr="00BA1178">
        <w:rPr>
          <w:rFonts w:ascii="Verdana" w:hAnsi="Verdana"/>
          <w:b/>
          <w:color w:val="C00000"/>
          <w:sz w:val="16"/>
          <w:szCs w:val="16"/>
        </w:rPr>
        <w:t>ADFIT CREDIT</w:t>
      </w:r>
      <w:r>
        <w:rPr>
          <w:rFonts w:ascii="Verdana" w:hAnsi="Verdana"/>
          <w:color w:val="333333"/>
          <w:sz w:val="16"/>
          <w:szCs w:val="16"/>
        </w:rPr>
        <w:br/>
        <w:t>SAC*C**EU*MSC042*97***.000765*KH*1268*****DISTRIBUTION COST RECOVERY FACTOR</w:t>
      </w:r>
      <w:r>
        <w:rPr>
          <w:rFonts w:ascii="Verdana" w:hAnsi="Verdana"/>
          <w:color w:val="333333"/>
          <w:sz w:val="16"/>
          <w:szCs w:val="16"/>
        </w:rPr>
        <w:br/>
        <w:t>SAC*C**EU*DIS001*2091***.01649054*KH*1268*****DISTRIBUTION CHARGE</w:t>
      </w:r>
      <w:r>
        <w:rPr>
          <w:rFonts w:ascii="Verdana" w:hAnsi="Verdana"/>
          <w:color w:val="333333"/>
          <w:sz w:val="16"/>
          <w:szCs w:val="16"/>
        </w:rPr>
        <w:br/>
        <w:t>SAC*C**EU*MSC041*92***.00072555*KH*1268*****ENERGY EFFICIENCY COST RECOVERY FACTOR</w:t>
      </w:r>
      <w:r>
        <w:rPr>
          <w:rFonts w:ascii="Verdana" w:hAnsi="Verdana"/>
          <w:color w:val="333333"/>
          <w:sz w:val="16"/>
          <w:szCs w:val="16"/>
        </w:rPr>
        <w:br/>
        <w:t>SAC*C**EU*BAS001*59***.59*EA*1*****CUSTOMER CHARGE</w:t>
      </w:r>
      <w:r>
        <w:rPr>
          <w:rFonts w:ascii="Verdana" w:hAnsi="Verdana"/>
          <w:color w:val="333333"/>
          <w:sz w:val="16"/>
          <w:szCs w:val="16"/>
        </w:rPr>
        <w:br/>
        <w:t>SAC*C**EU*BAS003*141***1.41*EA*1*****METERING CHARGE</w:t>
      </w:r>
      <w:r>
        <w:rPr>
          <w:rFonts w:ascii="Verdana" w:hAnsi="Verdana"/>
          <w:color w:val="333333"/>
          <w:sz w:val="16"/>
          <w:szCs w:val="16"/>
        </w:rPr>
        <w:br/>
        <w:t>SAC*C**EU*MSC025*1***.00000789*KH*1268*****NUCLEAR DECOMMISSION FEE</w:t>
      </w:r>
      <w:r>
        <w:rPr>
          <w:rFonts w:ascii="Verdana" w:hAnsi="Verdana"/>
          <w:color w:val="333333"/>
          <w:sz w:val="16"/>
          <w:szCs w:val="16"/>
        </w:rPr>
        <w:br/>
        <w:t>SAC*C**EU*TRN002*1111***.008762*KH*1268*****TCRF</w:t>
      </w:r>
      <w:r>
        <w:rPr>
          <w:rFonts w:ascii="Verdana" w:hAnsi="Verdana"/>
          <w:color w:val="333333"/>
          <w:sz w:val="16"/>
          <w:szCs w:val="16"/>
        </w:rPr>
        <w:br/>
        <w:t>SAC*C**EU*MSC036*323***.00254732*KH*1268*****TRANSITION CHARGE 2</w:t>
      </w:r>
      <w:r>
        <w:rPr>
          <w:rFonts w:ascii="Verdana" w:hAnsi="Verdana"/>
          <w:color w:val="333333"/>
          <w:sz w:val="16"/>
          <w:szCs w:val="16"/>
        </w:rPr>
        <w:br/>
        <w:t>SAC*C**EU*MSC037*43***.00033912*KH*1268*****TRANSITION CHARGE 3</w:t>
      </w:r>
      <w:r>
        <w:rPr>
          <w:rFonts w:ascii="Verdana" w:hAnsi="Verdana"/>
          <w:color w:val="333333"/>
          <w:sz w:val="16"/>
          <w:szCs w:val="16"/>
        </w:rPr>
        <w:br/>
        <w:t>SAC*C**EU*MSC038*383***.0030205*KH*1268*****SYSTEM RESTORATION CHARGE</w:t>
      </w:r>
      <w:r>
        <w:rPr>
          <w:rFonts w:ascii="Verdana" w:hAnsi="Verdana"/>
          <w:color w:val="333333"/>
          <w:sz w:val="16"/>
          <w:szCs w:val="16"/>
        </w:rPr>
        <w:br/>
        <w:t>SAC*C**EU*MSC043*210***.00165615*KH*1268*****TRANSITION CHARGE 5</w:t>
      </w:r>
      <w:r>
        <w:rPr>
          <w:rFonts w:ascii="Verdana" w:hAnsi="Verdana"/>
          <w:color w:val="333333"/>
          <w:sz w:val="16"/>
          <w:szCs w:val="16"/>
        </w:rPr>
        <w:br/>
        <w:t>SAC*C**EU*TRN001*1070***.00843849*KH*1268*****TRANSMISSION CHARGE</w:t>
      </w:r>
    </w:p>
    <w:p w14:paraId="4A540740" w14:textId="78217683" w:rsidR="00D545CB" w:rsidRDefault="00D545CB" w:rsidP="00D545CB">
      <w:pPr>
        <w:ind w:left="0"/>
      </w:pPr>
      <w:r>
        <w:t>All codes should be for a very specific single purpose and should be displayed by Texas SET in the SAC04 document with both the expected English and Spanish versions that the TDSP</w:t>
      </w:r>
      <w:r w:rsidR="006A119E">
        <w:t>s</w:t>
      </w:r>
      <w:r>
        <w:t xml:space="preserve"> would like to have shown on the customer’s bill.  </w:t>
      </w:r>
    </w:p>
    <w:p w14:paraId="51CE3DD0" w14:textId="42E968DE" w:rsidR="006A119E" w:rsidRDefault="006A119E" w:rsidP="006A119E">
      <w:pPr>
        <w:pStyle w:val="Heading2"/>
        <w:ind w:left="0"/>
      </w:pPr>
      <w:r>
        <w:t>Inclusion in Average Price</w:t>
      </w:r>
    </w:p>
    <w:p w14:paraId="7026252F" w14:textId="77777777" w:rsidR="006A119E" w:rsidRDefault="006A119E" w:rsidP="006A119E">
      <w:pPr>
        <w:ind w:left="0"/>
      </w:pPr>
      <w:r>
        <w:t xml:space="preserve">Because the utilities are not obligated to send Spanish via EDI, the text in the SAC15 is great for a visual review and may be used for English charge </w:t>
      </w:r>
      <w:proofErr w:type="gramStart"/>
      <w:r>
        <w:t>lines, but</w:t>
      </w:r>
      <w:proofErr w:type="gramEnd"/>
      <w:r>
        <w:t xml:space="preserve"> cannot be used for Spanish bills.  </w:t>
      </w:r>
    </w:p>
    <w:p w14:paraId="557F4552" w14:textId="0E932C2B" w:rsidR="006A119E" w:rsidRDefault="006A119E" w:rsidP="006A119E">
      <w:r w:rsidRPr="006A119E">
        <w:t>§25.479. Issuance and Format of Bills.</w:t>
      </w:r>
    </w:p>
    <w:p w14:paraId="3F121BC7" w14:textId="34C076F0" w:rsidR="006A119E" w:rsidRDefault="006A119E" w:rsidP="006A119E">
      <w:r>
        <w:rPr>
          <w:sz w:val="20"/>
        </w:rPr>
        <w:t xml:space="preserve">(c) </w:t>
      </w:r>
      <w:r>
        <w:rPr>
          <w:b/>
          <w:bCs/>
          <w:sz w:val="20"/>
        </w:rPr>
        <w:t>Bill content.</w:t>
      </w:r>
    </w:p>
    <w:p w14:paraId="36CC76BA" w14:textId="0B6B9971" w:rsidR="006A119E" w:rsidRDefault="006A119E" w:rsidP="006A119E">
      <w:r>
        <w:rPr>
          <w:sz w:val="20"/>
        </w:rPr>
        <w:t xml:space="preserve">(I) A calculation of the average unit price for electric service for the current billing period, labeled, “The average price you paid for electric service this month.” The calculation of the average price for electric service shall reflect the </w:t>
      </w:r>
      <w:r w:rsidRPr="006A119E">
        <w:rPr>
          <w:color w:val="FF0000"/>
          <w:sz w:val="20"/>
        </w:rPr>
        <w:t>total of all fixed and variable recurring charges</w:t>
      </w:r>
      <w:r>
        <w:rPr>
          <w:sz w:val="20"/>
        </w:rPr>
        <w:t xml:space="preserve">, but not include state and local sales taxes, reimbursement for the state miscellaneous gross receipts tax, and any nonrecurring charges or credits, divided by the kilowatt-hour consumption, and shall be expressed as </w:t>
      </w:r>
      <w:proofErr w:type="gramStart"/>
      <w:r>
        <w:rPr>
          <w:sz w:val="20"/>
        </w:rPr>
        <w:t>a cents</w:t>
      </w:r>
      <w:proofErr w:type="gramEnd"/>
      <w:r>
        <w:rPr>
          <w:sz w:val="20"/>
        </w:rPr>
        <w:t xml:space="preserve"> per kilowatt-hour amount rounded to the nearest one-tenth of one cent.</w:t>
      </w:r>
    </w:p>
    <w:p w14:paraId="1A76A7E9" w14:textId="04017842" w:rsidR="006A119E" w:rsidRDefault="006A119E" w:rsidP="00D545CB">
      <w:pPr>
        <w:ind w:left="0"/>
      </w:pPr>
      <w:r>
        <w:t>For the TDSP charges, the TDSPs should indicate, via the SAC04 document, whether the charges are recurring rather than leaving it up to the REPs to determine.</w:t>
      </w:r>
    </w:p>
    <w:p w14:paraId="47E127F6" w14:textId="29F910DF" w:rsidR="006A119E" w:rsidRDefault="006A119E" w:rsidP="006A119E">
      <w:pPr>
        <w:pStyle w:val="Heading2"/>
        <w:ind w:left="0"/>
      </w:pPr>
      <w:r>
        <w:t>Identification of B2B</w:t>
      </w:r>
    </w:p>
    <w:p w14:paraId="23C6D70B" w14:textId="19CD6AEF" w:rsidR="006A119E" w:rsidRDefault="006A119E" w:rsidP="006A119E">
      <w:pPr>
        <w:ind w:left="0"/>
      </w:pPr>
      <w:r>
        <w:t xml:space="preserve">It would also be exceedingly helpful, particularly to new REPs, if the Business-to-Business SAC04 codes could be identified.  For example, the LPC001 is not a charge </w:t>
      </w:r>
      <w:r>
        <w:lastRenderedPageBreak/>
        <w:t xml:space="preserve">that is passed on to the customer and would only appear in the B2B IT1 loop.  Are there others that would only ever appear in the B2B loop? </w:t>
      </w:r>
    </w:p>
    <w:p w14:paraId="788C0386" w14:textId="78DD278B" w:rsidR="00BA1178" w:rsidRDefault="00BA1178" w:rsidP="006A119E">
      <w:pPr>
        <w:ind w:left="0"/>
      </w:pPr>
      <w:r>
        <w:t>Example of SAC04 Documentation Content Suggestion:</w:t>
      </w:r>
    </w:p>
    <w:p w14:paraId="0AB848B9" w14:textId="17CCD66D" w:rsidR="006A119E" w:rsidRDefault="00BA1178" w:rsidP="00D545CB">
      <w:pPr>
        <w:ind w:left="0"/>
      </w:pPr>
      <w:r w:rsidRPr="00BA1178">
        <w:rPr>
          <w:noProof/>
        </w:rPr>
        <w:drawing>
          <wp:inline distT="0" distB="0" distL="0" distR="0" wp14:anchorId="08785796" wp14:editId="698E7939">
            <wp:extent cx="6858000" cy="1431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431513"/>
                    </a:xfrm>
                    <a:prstGeom prst="rect">
                      <a:avLst/>
                    </a:prstGeom>
                    <a:noFill/>
                    <a:ln>
                      <a:noFill/>
                    </a:ln>
                  </pic:spPr>
                </pic:pic>
              </a:graphicData>
            </a:graphic>
          </wp:inline>
        </w:drawing>
      </w:r>
    </w:p>
    <w:p w14:paraId="7FA3CF48" w14:textId="6E527C09" w:rsidR="00D545CB" w:rsidRDefault="00D545CB" w:rsidP="00163972">
      <w:pPr>
        <w:ind w:left="0"/>
      </w:pPr>
    </w:p>
    <w:p w14:paraId="6D6D4F97" w14:textId="64C11A56" w:rsidR="00BA1178" w:rsidRDefault="00BA1178" w:rsidP="00163972">
      <w:pPr>
        <w:ind w:left="0"/>
      </w:pPr>
      <w:r>
        <w:t>Thank you for your consideration!</w:t>
      </w:r>
    </w:p>
    <w:p w14:paraId="373B2CEC" w14:textId="77777777" w:rsidR="00BA1178" w:rsidRDefault="00BA1178" w:rsidP="00BA1178">
      <w:pPr>
        <w:rPr>
          <w:rFonts w:ascii="Segoe UI" w:hAnsi="Segoe UI" w:cs="Segoe UI"/>
          <w:kern w:val="0"/>
        </w:rPr>
      </w:pPr>
    </w:p>
    <w:p w14:paraId="74372F71" w14:textId="6E8F5A22" w:rsidR="00BA1178" w:rsidRDefault="00BA1178" w:rsidP="00BA1178">
      <w:pPr>
        <w:rPr>
          <w:rFonts w:ascii="Segoe UI" w:hAnsi="Segoe UI" w:cs="Segoe UI"/>
          <w:b/>
          <w:bCs/>
          <w:szCs w:val="24"/>
        </w:rPr>
      </w:pPr>
      <w:r>
        <w:rPr>
          <w:noProof/>
        </w:rPr>
        <w:drawing>
          <wp:inline distT="0" distB="0" distL="0" distR="0" wp14:anchorId="3D51EC57" wp14:editId="4FB1AEE5">
            <wp:extent cx="1678940" cy="218440"/>
            <wp:effectExtent l="0" t="0" r="0" b="0"/>
            <wp:docPr id="8" name="Picture 8" descr="cid:image001.png@01D45AF9.3BCCA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D45AF9.3BCCA1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8940" cy="218440"/>
                    </a:xfrm>
                    <a:prstGeom prst="rect">
                      <a:avLst/>
                    </a:prstGeom>
                    <a:noFill/>
                    <a:ln>
                      <a:noFill/>
                    </a:ln>
                  </pic:spPr>
                </pic:pic>
              </a:graphicData>
            </a:graphic>
          </wp:inline>
        </w:drawing>
      </w:r>
    </w:p>
    <w:p w14:paraId="0423EB2E" w14:textId="599455D1" w:rsidR="00BA1178" w:rsidRDefault="00BA1178" w:rsidP="00BA1178">
      <w:pPr>
        <w:rPr>
          <w:rFonts w:ascii="Segoe UI" w:hAnsi="Segoe UI" w:cs="Segoe UI"/>
          <w:b/>
          <w:bCs/>
          <w:sz w:val="18"/>
          <w:szCs w:val="18"/>
        </w:rPr>
      </w:pPr>
      <w:r>
        <w:rPr>
          <w:sz w:val="10"/>
          <w:szCs w:val="10"/>
        </w:rPr>
        <w:br/>
      </w:r>
      <w:bookmarkStart w:id="1" w:name="_Hlk509410300"/>
      <w:bookmarkStart w:id="2" w:name="_Hlk509410185"/>
      <w:r>
        <w:rPr>
          <w:rFonts w:ascii="Segoe UI" w:hAnsi="Segoe UI" w:cs="Segoe UI"/>
          <w:b/>
          <w:bCs/>
          <w:szCs w:val="24"/>
        </w:rPr>
        <w:t>Kim Wall</w:t>
      </w:r>
      <w:r>
        <w:rPr>
          <w:rFonts w:ascii="Segoe UI" w:hAnsi="Segoe UI" w:cs="Segoe UI"/>
          <w:color w:val="FFFFFF"/>
          <w:sz w:val="18"/>
          <w:szCs w:val="18"/>
        </w:rPr>
        <w:t xml:space="preserve"> </w:t>
      </w:r>
      <w:r>
        <w:rPr>
          <w:rFonts w:ascii="Segoe UI" w:hAnsi="Segoe UI" w:cs="Segoe UI"/>
          <w:color w:val="FFFFFF"/>
          <w:sz w:val="18"/>
          <w:szCs w:val="18"/>
        </w:rPr>
        <w:br/>
      </w:r>
      <w:r>
        <w:rPr>
          <w:rFonts w:ascii="Segoe UI" w:hAnsi="Segoe UI" w:cs="Segoe UI"/>
          <w:color w:val="E2231A"/>
          <w:sz w:val="20"/>
        </w:rPr>
        <w:t>MANAGER OF REGULATORY &amp; MARKET RESEARCH</w:t>
      </w:r>
      <w:r>
        <w:rPr>
          <w:rFonts w:ascii="Segoe UI" w:hAnsi="Segoe UI" w:cs="Segoe UI"/>
          <w:color w:val="FFFFFF"/>
          <w:sz w:val="18"/>
          <w:szCs w:val="18"/>
        </w:rPr>
        <w:br/>
      </w:r>
      <w:r>
        <w:rPr>
          <w:rFonts w:ascii="Segoe UI" w:hAnsi="Segoe UI" w:cs="Segoe UI"/>
          <w:b/>
          <w:bCs/>
          <w:sz w:val="18"/>
          <w:szCs w:val="18"/>
        </w:rPr>
        <w:br/>
      </w:r>
      <w:r>
        <w:rPr>
          <w:rFonts w:ascii="Segoe UI" w:hAnsi="Segoe UI" w:cs="Segoe UI"/>
          <w:color w:val="E2231A"/>
          <w:sz w:val="18"/>
          <w:szCs w:val="18"/>
        </w:rPr>
        <w:t>T</w:t>
      </w:r>
      <w:r>
        <w:rPr>
          <w:rFonts w:ascii="Segoe UI" w:hAnsi="Segoe UI" w:cs="Segoe UI"/>
          <w:color w:val="E2231A"/>
          <w:sz w:val="20"/>
        </w:rPr>
        <w:t> </w:t>
      </w:r>
      <w:r>
        <w:rPr>
          <w:rFonts w:ascii="Segoe UI" w:hAnsi="Segoe UI" w:cs="Segoe UI"/>
          <w:sz w:val="18"/>
          <w:szCs w:val="18"/>
        </w:rPr>
        <w:t xml:space="preserve"> 484-235-5879   </w:t>
      </w:r>
      <w:r>
        <w:rPr>
          <w:rFonts w:ascii="Segoe UI" w:hAnsi="Segoe UI" w:cs="Segoe UI"/>
          <w:sz w:val="18"/>
          <w:szCs w:val="18"/>
        </w:rPr>
        <w:br/>
      </w:r>
      <w:r>
        <w:rPr>
          <w:rFonts w:ascii="Segoe UI" w:hAnsi="Segoe UI" w:cs="Segoe UI"/>
          <w:color w:val="E2231A"/>
          <w:sz w:val="18"/>
          <w:szCs w:val="18"/>
        </w:rPr>
        <w:t>E</w:t>
      </w:r>
      <w:r>
        <w:rPr>
          <w:rFonts w:ascii="Segoe UI" w:hAnsi="Segoe UI" w:cs="Segoe UI"/>
          <w:b/>
          <w:bCs/>
          <w:sz w:val="18"/>
          <w:szCs w:val="18"/>
        </w:rPr>
        <w:t xml:space="preserve">  </w:t>
      </w:r>
      <w:hyperlink r:id="rId12" w:history="1">
        <w:r>
          <w:rPr>
            <w:rStyle w:val="Hyperlink"/>
            <w:rFonts w:ascii="Segoe UI" w:hAnsi="Segoe UI" w:cs="Segoe UI"/>
            <w:color w:val="262B31"/>
            <w:sz w:val="18"/>
            <w:szCs w:val="18"/>
          </w:rPr>
          <w:t>kim.wall@hansencx.com</w:t>
        </w:r>
      </w:hyperlink>
      <w:r>
        <w:rPr>
          <w:rFonts w:ascii="Segoe UI" w:hAnsi="Segoe UI" w:cs="Segoe UI"/>
          <w:sz w:val="18"/>
          <w:szCs w:val="18"/>
        </w:rPr>
        <w:t xml:space="preserve">  </w:t>
      </w:r>
      <w:r>
        <w:rPr>
          <w:rFonts w:ascii="Segoe UI" w:hAnsi="Segoe UI" w:cs="Segoe UI"/>
          <w:color w:val="E2231A"/>
          <w:sz w:val="18"/>
          <w:szCs w:val="18"/>
        </w:rPr>
        <w:t>W</w:t>
      </w:r>
      <w:r>
        <w:rPr>
          <w:rFonts w:ascii="Segoe UI" w:hAnsi="Segoe UI" w:cs="Segoe UI"/>
          <w:b/>
          <w:bCs/>
          <w:sz w:val="18"/>
          <w:szCs w:val="18"/>
        </w:rPr>
        <w:t xml:space="preserve">  </w:t>
      </w:r>
      <w:hyperlink r:id="rId13" w:history="1">
        <w:r>
          <w:rPr>
            <w:rStyle w:val="Hyperlink"/>
            <w:rFonts w:ascii="Segoe UI" w:hAnsi="Segoe UI" w:cs="Segoe UI"/>
            <w:color w:val="262B31"/>
            <w:sz w:val="18"/>
            <w:szCs w:val="18"/>
          </w:rPr>
          <w:t>hansencx.com</w:t>
        </w:r>
      </w:hyperlink>
      <w:r>
        <w:rPr>
          <w:rFonts w:ascii="Segoe UI" w:hAnsi="Segoe UI" w:cs="Segoe UI"/>
          <w:b/>
          <w:bCs/>
          <w:sz w:val="18"/>
          <w:szCs w:val="18"/>
        </w:rPr>
        <w:t xml:space="preserve"> </w:t>
      </w:r>
      <w:r>
        <w:rPr>
          <w:rFonts w:ascii="Segoe UI" w:hAnsi="Segoe UI" w:cs="Segoe UI"/>
          <w:b/>
          <w:bCs/>
          <w:sz w:val="18"/>
          <w:szCs w:val="18"/>
        </w:rPr>
        <w:br/>
      </w:r>
      <w:r>
        <w:rPr>
          <w:rFonts w:ascii="Segoe UI" w:hAnsi="Segoe UI" w:cs="Segoe UI"/>
          <w:b/>
          <w:bCs/>
          <w:sz w:val="14"/>
          <w:szCs w:val="14"/>
        </w:rPr>
        <w:t>A MEMBER OF THE GLOBAL HANSEN TECHNOLOGIES GROUP</w:t>
      </w:r>
      <w:r>
        <w:rPr>
          <w:rFonts w:ascii="Segoe UI" w:hAnsi="Segoe UI" w:cs="Segoe UI"/>
          <w:b/>
          <w:bCs/>
          <w:color w:val="FFFFFF"/>
          <w:sz w:val="18"/>
          <w:szCs w:val="18"/>
        </w:rPr>
        <w:br/>
      </w:r>
      <w:r>
        <w:rPr>
          <w:rFonts w:ascii="Segoe UI" w:hAnsi="Segoe UI" w:cs="Segoe UI"/>
          <w:b/>
          <w:bCs/>
          <w:color w:val="FFFFFF"/>
          <w:sz w:val="18"/>
          <w:szCs w:val="18"/>
        </w:rPr>
        <w:br/>
      </w:r>
      <w:r>
        <w:rPr>
          <w:noProof/>
          <w:lang w:eastAsia="en-AU"/>
        </w:rPr>
        <w:drawing>
          <wp:inline distT="0" distB="0" distL="0" distR="0" wp14:anchorId="0AE4ACC9" wp14:editId="7B0067A0">
            <wp:extent cx="143510" cy="116205"/>
            <wp:effectExtent l="0" t="0" r="8890" b="0"/>
            <wp:docPr id="7" name="Picture 7" descr="cid:image003.png@01D3AB02.B621D07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AB02.B621D0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3510" cy="116205"/>
                    </a:xfrm>
                    <a:prstGeom prst="rect">
                      <a:avLst/>
                    </a:prstGeom>
                    <a:noFill/>
                    <a:ln>
                      <a:noFill/>
                    </a:ln>
                  </pic:spPr>
                </pic:pic>
              </a:graphicData>
            </a:graphic>
          </wp:inline>
        </w:drawing>
      </w:r>
      <w:r>
        <w:rPr>
          <w:rFonts w:ascii="Segoe UI" w:hAnsi="Segoe UI" w:cs="Segoe UI"/>
          <w:b/>
          <w:bCs/>
          <w:color w:val="FFFFFF"/>
          <w:sz w:val="18"/>
          <w:szCs w:val="18"/>
        </w:rPr>
        <w:t> </w:t>
      </w:r>
      <w:r>
        <w:rPr>
          <w:rFonts w:ascii="Segoe UI" w:hAnsi="Segoe UI" w:cs="Segoe UI"/>
          <w:noProof/>
          <w:color w:val="595959"/>
          <w:sz w:val="18"/>
          <w:szCs w:val="18"/>
          <w:lang w:eastAsia="en-AU"/>
        </w:rPr>
        <w:drawing>
          <wp:inline distT="0" distB="0" distL="0" distR="0" wp14:anchorId="01C55312" wp14:editId="07FF752E">
            <wp:extent cx="136525" cy="136525"/>
            <wp:effectExtent l="0" t="0" r="0" b="0"/>
            <wp:docPr id="6" name="Picture 6" descr="cid:image004.png@01D3AB02.B621D0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3AB02.B621D07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ascii="Segoe UI" w:hAnsi="Segoe UI" w:cs="Segoe UI"/>
          <w:b/>
          <w:bCs/>
          <w:color w:val="FFFFFF"/>
          <w:sz w:val="18"/>
          <w:szCs w:val="18"/>
        </w:rPr>
        <w:t> </w:t>
      </w:r>
      <w:r>
        <w:rPr>
          <w:noProof/>
        </w:rPr>
        <w:drawing>
          <wp:inline distT="0" distB="0" distL="0" distR="0" wp14:anchorId="0A1087EC" wp14:editId="75AFD304">
            <wp:extent cx="143510" cy="143510"/>
            <wp:effectExtent l="0" t="0" r="8890" b="8890"/>
            <wp:docPr id="5" name="Picture 5" descr="cid:image006.png@01D45AF9.412FDF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45AF9.412FDF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Fonts w:ascii="Segoe UI" w:hAnsi="Segoe UI" w:cs="Segoe UI"/>
          <w:b/>
          <w:bCs/>
          <w:color w:val="FFFFFF"/>
          <w:sz w:val="18"/>
          <w:szCs w:val="18"/>
        </w:rPr>
        <w:t> </w:t>
      </w:r>
      <w:r>
        <w:rPr>
          <w:rFonts w:ascii="Segoe UI" w:hAnsi="Segoe UI" w:cs="Segoe UI"/>
          <w:sz w:val="18"/>
          <w:szCs w:val="18"/>
        </w:rPr>
        <w:t xml:space="preserve">2040 Avenue C, Bethlehem, PA 18017 </w:t>
      </w:r>
      <w:bookmarkEnd w:id="1"/>
      <w:bookmarkEnd w:id="2"/>
    </w:p>
    <w:p w14:paraId="7101F131" w14:textId="77777777" w:rsidR="00BA1178" w:rsidRDefault="00BA1178" w:rsidP="00BA1178">
      <w:pPr>
        <w:rPr>
          <w:rFonts w:ascii="Calibri" w:hAnsi="Calibri" w:cs="Calibri"/>
          <w:color w:val="auto"/>
          <w:sz w:val="22"/>
          <w:szCs w:val="22"/>
        </w:rPr>
      </w:pPr>
    </w:p>
    <w:p w14:paraId="5F1C4ED9" w14:textId="77777777" w:rsidR="00BA1178" w:rsidRPr="00163972" w:rsidRDefault="00BA1178" w:rsidP="00163972">
      <w:pPr>
        <w:ind w:left="0"/>
      </w:pPr>
    </w:p>
    <w:sectPr w:rsidR="00BA1178" w:rsidRPr="00163972" w:rsidSect="00A66B18">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EBC9" w14:textId="77777777" w:rsidR="00661AAF" w:rsidRDefault="00661AAF" w:rsidP="00A66B18">
      <w:pPr>
        <w:spacing w:before="0" w:after="0"/>
      </w:pPr>
      <w:r>
        <w:separator/>
      </w:r>
    </w:p>
  </w:endnote>
  <w:endnote w:type="continuationSeparator" w:id="0">
    <w:p w14:paraId="4F5F543A" w14:textId="77777777" w:rsidR="00661AAF" w:rsidRDefault="00661AA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Segoe UI Black">
    <w:charset w:val="00"/>
    <w:family w:val="swiss"/>
    <w:pitch w:val="variable"/>
    <w:sig w:usb0="E10002FF" w:usb1="4000E4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7C1D" w14:textId="77777777" w:rsidR="009D559F" w:rsidRDefault="009D559F" w:rsidP="009D559F">
    <w:pPr>
      <w:pStyle w:val="Header"/>
      <w:ind w:right="27"/>
    </w:pPr>
    <w:r>
      <w:rPr>
        <w:noProof/>
        <w:lang w:val="en-AU" w:eastAsia="en-AU"/>
      </w:rPr>
      <w:drawing>
        <wp:anchor distT="0" distB="0" distL="114300" distR="114300" simplePos="0" relativeHeight="251662335" behindDoc="0" locked="0" layoutInCell="1" allowOverlap="1" wp14:anchorId="72057C20" wp14:editId="72057C21">
          <wp:simplePos x="0" y="0"/>
          <wp:positionH relativeFrom="margin">
            <wp:align>left</wp:align>
          </wp:positionH>
          <wp:positionV relativeFrom="paragraph">
            <wp:posOffset>144145</wp:posOffset>
          </wp:positionV>
          <wp:extent cx="987425" cy="12192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21920"/>
                  </a:xfrm>
                  <a:prstGeom prst="rect">
                    <a:avLst/>
                  </a:prstGeom>
                  <a:noFill/>
                </pic:spPr>
              </pic:pic>
            </a:graphicData>
          </a:graphic>
        </wp:anchor>
      </w:drawing>
    </w:r>
    <w:r>
      <w:rPr>
        <w:sz w:val="16"/>
      </w:rPr>
      <w:br/>
    </w:r>
    <w:r w:rsidRPr="009D559F">
      <w:rPr>
        <w:sz w:val="16"/>
      </w:rPr>
      <w:t xml:space="preserve">Page </w:t>
    </w:r>
    <w:r w:rsidRPr="009D559F">
      <w:rPr>
        <w:sz w:val="16"/>
      </w:rPr>
      <w:fldChar w:fldCharType="begin"/>
    </w:r>
    <w:r w:rsidRPr="009D559F">
      <w:rPr>
        <w:sz w:val="16"/>
      </w:rPr>
      <w:instrText xml:space="preserve"> PAGE   \* MERGEFORMAT </w:instrText>
    </w:r>
    <w:r w:rsidRPr="009D559F">
      <w:rPr>
        <w:sz w:val="16"/>
      </w:rPr>
      <w:fldChar w:fldCharType="separate"/>
    </w:r>
    <w:r w:rsidR="00A2771C">
      <w:rPr>
        <w:noProof/>
        <w:sz w:val="16"/>
      </w:rPr>
      <w:t>1</w:t>
    </w:r>
    <w:r w:rsidRPr="009D559F">
      <w:rPr>
        <w:sz w:val="16"/>
      </w:rPr>
      <w:fldChar w:fldCharType="end"/>
    </w:r>
    <w:r w:rsidRPr="00245CF4">
      <w:rPr>
        <w:noProof/>
        <w:lang w:val="en-AU" w:eastAsia="en-AU"/>
      </w:rPr>
      <mc:AlternateContent>
        <mc:Choice Requires="wps">
          <w:drawing>
            <wp:anchor distT="0" distB="0" distL="114300" distR="114300" simplePos="0" relativeHeight="251664383" behindDoc="0" locked="0" layoutInCell="1" allowOverlap="1" wp14:anchorId="72057C22" wp14:editId="72057C23">
              <wp:simplePos x="0" y="0"/>
              <wp:positionH relativeFrom="margin">
                <wp:align>left</wp:align>
              </wp:positionH>
              <wp:positionV relativeFrom="paragraph">
                <wp:posOffset>306705</wp:posOffset>
              </wp:positionV>
              <wp:extent cx="6837045" cy="38100"/>
              <wp:effectExtent l="0" t="0" r="20955" b="19050"/>
              <wp:wrapNone/>
              <wp:docPr id="4" name="Straight Connector 4"/>
              <wp:cNvGraphicFramePr/>
              <a:graphic xmlns:a="http://schemas.openxmlformats.org/drawingml/2006/main">
                <a:graphicData uri="http://schemas.microsoft.com/office/word/2010/wordprocessingShape">
                  <wps:wsp>
                    <wps:cNvCnPr/>
                    <wps:spPr>
                      <a:xfrm flipV="1">
                        <a:off x="0" y="0"/>
                        <a:ext cx="6837045" cy="38100"/>
                      </a:xfrm>
                      <a:prstGeom prst="line">
                        <a:avLst/>
                      </a:prstGeom>
                      <a:ln w="3175">
                        <a:solidFill>
                          <a:schemeClr val="bg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26995" id="Straight Connector 4" o:spid="_x0000_s1026" style="position:absolute;flip:y;z-index:2516643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5pt" to="538.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" strokecolor="#dcddde [668]" strokeweight=".25pt">
              <v:stroke endcap="round"/>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1F23" w14:textId="77777777" w:rsidR="00661AAF" w:rsidRDefault="00661AAF" w:rsidP="00A66B18">
      <w:pPr>
        <w:spacing w:before="0" w:after="0"/>
      </w:pPr>
      <w:r>
        <w:separator/>
      </w:r>
    </w:p>
  </w:footnote>
  <w:footnote w:type="continuationSeparator" w:id="0">
    <w:p w14:paraId="7BAE8598" w14:textId="77777777" w:rsidR="00661AAF" w:rsidRDefault="00661AAF"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BD"/>
    <w:rsid w:val="000373BD"/>
    <w:rsid w:val="00083BAA"/>
    <w:rsid w:val="0010680C"/>
    <w:rsid w:val="00163972"/>
    <w:rsid w:val="001766D6"/>
    <w:rsid w:val="001E2320"/>
    <w:rsid w:val="00214E28"/>
    <w:rsid w:val="00231EC1"/>
    <w:rsid w:val="002B6532"/>
    <w:rsid w:val="00352B81"/>
    <w:rsid w:val="00367A31"/>
    <w:rsid w:val="003A0150"/>
    <w:rsid w:val="003E24DF"/>
    <w:rsid w:val="0041428F"/>
    <w:rsid w:val="004A2B0D"/>
    <w:rsid w:val="005B1DAF"/>
    <w:rsid w:val="005C2210"/>
    <w:rsid w:val="00615018"/>
    <w:rsid w:val="0062123A"/>
    <w:rsid w:val="00646E75"/>
    <w:rsid w:val="00661AAF"/>
    <w:rsid w:val="006A119E"/>
    <w:rsid w:val="006F6F10"/>
    <w:rsid w:val="00783E79"/>
    <w:rsid w:val="007B5AE8"/>
    <w:rsid w:val="007E7F36"/>
    <w:rsid w:val="007F5192"/>
    <w:rsid w:val="00861A52"/>
    <w:rsid w:val="008A4214"/>
    <w:rsid w:val="009D559F"/>
    <w:rsid w:val="009D6E13"/>
    <w:rsid w:val="00A2771C"/>
    <w:rsid w:val="00A66B18"/>
    <w:rsid w:val="00A6783B"/>
    <w:rsid w:val="00A96CF8"/>
    <w:rsid w:val="00AE1388"/>
    <w:rsid w:val="00AF3982"/>
    <w:rsid w:val="00B50294"/>
    <w:rsid w:val="00B57D6E"/>
    <w:rsid w:val="00BA1178"/>
    <w:rsid w:val="00C701F7"/>
    <w:rsid w:val="00C70786"/>
    <w:rsid w:val="00D41084"/>
    <w:rsid w:val="00D545CB"/>
    <w:rsid w:val="00D66593"/>
    <w:rsid w:val="00DE6DA2"/>
    <w:rsid w:val="00DF2D30"/>
    <w:rsid w:val="00E21240"/>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57BE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atentStyles>
  <w:style w:type="paragraph" w:default="1" w:styleId="Normal">
    <w:name w:val="Normal"/>
    <w:qFormat/>
    <w:rsid w:val="00861A52"/>
    <w:pPr>
      <w:spacing w:before="40" w:after="360"/>
      <w:ind w:left="720" w:right="720"/>
    </w:pPr>
    <w:rPr>
      <w:rFonts w:ascii="Montserrat" w:eastAsiaTheme="minorHAnsi" w:hAnsi="Montserrat"/>
      <w:color w:val="262B31"/>
      <w:kern w:val="20"/>
      <w:szCs w:val="20"/>
    </w:rPr>
  </w:style>
  <w:style w:type="paragraph" w:styleId="Heading1">
    <w:name w:val="heading 1"/>
    <w:basedOn w:val="Recipient"/>
    <w:next w:val="Normal"/>
    <w:link w:val="Heading1Char"/>
    <w:uiPriority w:val="8"/>
    <w:qFormat/>
    <w:rsid w:val="00861A52"/>
    <w:pPr>
      <w:outlineLvl w:val="0"/>
    </w:pPr>
    <w:rPr>
      <w:color w:val="E2231A"/>
      <w:sz w:val="32"/>
    </w:rPr>
  </w:style>
  <w:style w:type="paragraph" w:styleId="Heading2">
    <w:name w:val="heading 2"/>
    <w:basedOn w:val="Normal"/>
    <w:next w:val="Normal"/>
    <w:link w:val="Heading2Char"/>
    <w:uiPriority w:val="9"/>
    <w:qFormat/>
    <w:rsid w:val="00861A52"/>
    <w:pPr>
      <w:keepNext/>
      <w:keepLines/>
      <w:spacing w:before="360" w:after="0"/>
      <w:outlineLvl w:val="1"/>
    </w:pPr>
    <w:rPr>
      <w:rFonts w:eastAsiaTheme="majorEastAsia" w:cstheme="majorBidi"/>
      <w:color w:val="E2231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861A52"/>
    <w:rPr>
      <w:rFonts w:ascii="Montserrat" w:eastAsiaTheme="minorHAnsi" w:hAnsi="Montserrat"/>
      <w:b/>
      <w:bCs/>
      <w:color w:val="E2231A"/>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E2231A" w:themeColor="accent1"/>
    </w:rPr>
  </w:style>
  <w:style w:type="character" w:customStyle="1" w:styleId="SignatureChar">
    <w:name w:val="Signature Char"/>
    <w:basedOn w:val="DefaultParagraphFont"/>
    <w:link w:val="Signature"/>
    <w:uiPriority w:val="7"/>
    <w:semiHidden/>
    <w:rsid w:val="007E7F36"/>
    <w:rPr>
      <w:rFonts w:eastAsiaTheme="minorHAnsi"/>
      <w:b/>
      <w:bCs/>
      <w:color w:val="E2231A" w:themeColor="accent1"/>
      <w:kern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861A52"/>
    <w:pPr>
      <w:spacing w:before="0" w:after="0"/>
      <w:ind w:left="0" w:right="0"/>
    </w:pPr>
    <w:rPr>
      <w:color w:val="555759" w:themeColor="background1"/>
    </w:rPr>
  </w:style>
  <w:style w:type="character" w:customStyle="1" w:styleId="Heading2Char">
    <w:name w:val="Heading 2 Char"/>
    <w:basedOn w:val="DefaultParagraphFont"/>
    <w:link w:val="Heading2"/>
    <w:uiPriority w:val="9"/>
    <w:rsid w:val="00861A52"/>
    <w:rPr>
      <w:rFonts w:ascii="Montserrat" w:eastAsiaTheme="majorEastAsia" w:hAnsi="Montserrat" w:cstheme="majorBidi"/>
      <w:color w:val="E2231A"/>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861A52"/>
    <w:pPr>
      <w:spacing w:before="0" w:after="0"/>
      <w:contextualSpacing/>
    </w:pPr>
    <w:rPr>
      <w:rFonts w:eastAsiaTheme="majorEastAsia" w:cstheme="majorBidi"/>
      <w:caps/>
      <w:color w:val="555759" w:themeColor="background1"/>
      <w:spacing w:val="-10"/>
      <w:kern w:val="28"/>
      <w:sz w:val="52"/>
      <w:szCs w:val="56"/>
    </w:rPr>
  </w:style>
  <w:style w:type="character" w:customStyle="1" w:styleId="TitleChar">
    <w:name w:val="Title Char"/>
    <w:basedOn w:val="DefaultParagraphFont"/>
    <w:link w:val="Title"/>
    <w:uiPriority w:val="10"/>
    <w:rsid w:val="00861A52"/>
    <w:rPr>
      <w:rFonts w:ascii="Montserrat" w:eastAsiaTheme="majorEastAsia" w:hAnsi="Montserrat" w:cstheme="majorBidi"/>
      <w:caps/>
      <w:color w:val="555759" w:themeColor="background1"/>
      <w:spacing w:val="-10"/>
      <w:kern w:val="28"/>
      <w:sz w:val="52"/>
      <w:szCs w:val="56"/>
    </w:rPr>
  </w:style>
  <w:style w:type="paragraph" w:customStyle="1" w:styleId="MeetingInfo">
    <w:name w:val="Meeting Info"/>
    <w:basedOn w:val="Normal"/>
    <w:qFormat/>
    <w:rsid w:val="00861A52"/>
    <w:pPr>
      <w:spacing w:after="0"/>
      <w:ind w:right="0"/>
    </w:pPr>
    <w:rPr>
      <w:color w:val="555759"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861A52"/>
    <w:pPr>
      <w:spacing w:before="120" w:after="0"/>
      <w:ind w:left="0" w:right="0"/>
    </w:pPr>
    <w:rPr>
      <w:b/>
    </w:rPr>
  </w:style>
  <w:style w:type="paragraph" w:customStyle="1" w:styleId="ItemDescription">
    <w:name w:val="Item Description"/>
    <w:basedOn w:val="Normal"/>
    <w:qFormat/>
    <w:rsid w:val="00367A31"/>
    <w:pPr>
      <w:spacing w:before="120" w:after="0"/>
      <w:ind w:left="0" w:right="0"/>
    </w:pPr>
  </w:style>
  <w:style w:type="paragraph" w:customStyle="1" w:styleId="Location">
    <w:name w:val="Location"/>
    <w:basedOn w:val="Normal"/>
    <w:qFormat/>
    <w:rsid w:val="008A4214"/>
    <w:pPr>
      <w:spacing w:before="120" w:after="0"/>
      <w:ind w:left="0" w:right="0"/>
    </w:pPr>
  </w:style>
  <w:style w:type="table" w:styleId="PlainTable1">
    <w:name w:val="Plain Table 1"/>
    <w:basedOn w:val="TableNormal"/>
    <w:uiPriority w:val="41"/>
    <w:rsid w:val="002B6532"/>
    <w:tblPr>
      <w:tblStyleRowBandSize w:val="1"/>
      <w:tblStyleColBandSize w:val="1"/>
      <w:tblBorders>
        <w:top w:val="single" w:sz="4" w:space="0" w:color="3F4042" w:themeColor="background1" w:themeShade="BF"/>
        <w:left w:val="single" w:sz="4" w:space="0" w:color="3F4042" w:themeColor="background1" w:themeShade="BF"/>
        <w:bottom w:val="single" w:sz="4" w:space="0" w:color="3F4042" w:themeColor="background1" w:themeShade="BF"/>
        <w:right w:val="single" w:sz="4" w:space="0" w:color="3F4042" w:themeColor="background1" w:themeShade="BF"/>
        <w:insideH w:val="single" w:sz="4" w:space="0" w:color="3F4042" w:themeColor="background1" w:themeShade="BF"/>
        <w:insideV w:val="single" w:sz="4" w:space="0" w:color="3F4042" w:themeColor="background1" w:themeShade="BF"/>
      </w:tblBorders>
    </w:tblPr>
    <w:tblStylePr w:type="firstRow">
      <w:rPr>
        <w:b/>
        <w:bCs/>
      </w:rPr>
    </w:tblStylePr>
    <w:tblStylePr w:type="lastRow">
      <w:rPr>
        <w:b/>
        <w:bCs/>
      </w:rPr>
      <w:tblPr/>
      <w:tcPr>
        <w:tcBorders>
          <w:top w:val="double" w:sz="4" w:space="0" w:color="3F4042" w:themeColor="background1" w:themeShade="BF"/>
        </w:tcBorders>
      </w:tcPr>
    </w:tblStylePr>
    <w:tblStylePr w:type="firstCol">
      <w:rPr>
        <w:b/>
        <w:bCs/>
      </w:rPr>
    </w:tblStylePr>
    <w:tblStylePr w:type="lastCol">
      <w:rPr>
        <w:b/>
        <w:bCs/>
      </w:rPr>
    </w:tblStylePr>
    <w:tblStylePr w:type="band1Vert">
      <w:tblPr/>
      <w:tcPr>
        <w:shd w:val="clear" w:color="auto" w:fill="505254" w:themeFill="background1" w:themeFillShade="F2"/>
      </w:tcPr>
    </w:tblStylePr>
    <w:tblStylePr w:type="band1Horz">
      <w:tblPr/>
      <w:tcPr>
        <w:shd w:val="clear" w:color="auto" w:fill="505254" w:themeFill="background1" w:themeFillShade="F2"/>
      </w:tcPr>
    </w:tblStylePr>
  </w:style>
  <w:style w:type="table" w:styleId="PlainTable4">
    <w:name w:val="Plain Table 4"/>
    <w:basedOn w:val="TableNormal"/>
    <w:uiPriority w:val="44"/>
    <w:rsid w:val="002B653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505254" w:themeFill="background1" w:themeFillShade="F2"/>
      </w:tcPr>
    </w:tblStylePr>
    <w:tblStylePr w:type="band1Horz">
      <w:tblPr/>
      <w:tcPr>
        <w:shd w:val="clear" w:color="auto" w:fill="505254" w:themeFill="background1" w:themeFillShade="F2"/>
      </w:tcPr>
    </w:tblStylePr>
  </w:style>
  <w:style w:type="table" w:styleId="PlainTable5">
    <w:name w:val="Plain Table 5"/>
    <w:basedOn w:val="TableNormal"/>
    <w:uiPriority w:val="45"/>
    <w:rsid w:val="00861A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555759"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55575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555759"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555759" w:themeFill="background1"/>
      </w:tcPr>
    </w:tblStylePr>
    <w:tblStylePr w:type="band1Vert">
      <w:tblPr/>
      <w:tcPr>
        <w:shd w:val="clear" w:color="auto" w:fill="505254" w:themeFill="background1" w:themeFillShade="F2"/>
      </w:tcPr>
    </w:tblStylePr>
    <w:tblStylePr w:type="band1Horz">
      <w:tblPr/>
      <w:tcPr>
        <w:shd w:val="clear" w:color="auto" w:fill="505254"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61A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505254" w:themeFill="background1" w:themeFillShade="F2"/>
      </w:tcPr>
    </w:tblStylePr>
    <w:tblStylePr w:type="band1Horz">
      <w:tblPr/>
      <w:tcPr>
        <w:shd w:val="clear" w:color="auto" w:fill="505254"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BA1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04944">
      <w:bodyDiv w:val="1"/>
      <w:marLeft w:val="0"/>
      <w:marRight w:val="0"/>
      <w:marTop w:val="0"/>
      <w:marBottom w:val="0"/>
      <w:divBdr>
        <w:top w:val="none" w:sz="0" w:space="0" w:color="auto"/>
        <w:left w:val="none" w:sz="0" w:space="0" w:color="auto"/>
        <w:bottom w:val="none" w:sz="0" w:space="0" w:color="auto"/>
        <w:right w:val="none" w:sz="0" w:space="0" w:color="auto"/>
      </w:divBdr>
    </w:div>
    <w:div w:id="13006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nsencx.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kim.wall@hansencx.com" TargetMode="External"/><Relationship Id="rId17" Type="http://schemas.openxmlformats.org/officeDocument/2006/relationships/hyperlink" Target="https://www.linkedin.com/company/hansen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45AF9.3BCCA190" TargetMode="External"/><Relationship Id="rId20" Type="http://schemas.openxmlformats.org/officeDocument/2006/relationships/hyperlink" Target="sip:kimberly.wall@hansencx.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45AF9.3BCCA19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cid:image003.png@01D45AF9.3BCCA19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twitter.com/Hansen_CX" TargetMode="External"/><Relationship Id="rId22" Type="http://schemas.openxmlformats.org/officeDocument/2006/relationships/image" Target="cid:image006.png@01D45AF9.412FDF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Wisp">
  <a:themeElements>
    <a:clrScheme name="HansenCX">
      <a:dk1>
        <a:sysClr val="windowText" lastClr="000000"/>
      </a:dk1>
      <a:lt1>
        <a:srgbClr val="555759"/>
      </a:lt1>
      <a:dk2>
        <a:srgbClr val="262B31"/>
      </a:dk2>
      <a:lt2>
        <a:srgbClr val="000000"/>
      </a:lt2>
      <a:accent1>
        <a:srgbClr val="E2231A"/>
      </a:accent1>
      <a:accent2>
        <a:srgbClr val="46BBD0"/>
      </a:accent2>
      <a:accent3>
        <a:srgbClr val="FF8F1B"/>
      </a:accent3>
      <a:accent4>
        <a:srgbClr val="262B31"/>
      </a:accent4>
      <a:accent5>
        <a:srgbClr val="555759"/>
      </a:accent5>
      <a:accent6>
        <a:srgbClr val="555759"/>
      </a:accent6>
      <a:hlink>
        <a:srgbClr val="111820"/>
      </a:hlink>
      <a:folHlink>
        <a:srgbClr val="D0CECE"/>
      </a:folHlink>
    </a:clrScheme>
    <a:fontScheme name="HanenCX">
      <a:majorFont>
        <a:latin typeface="Segoe UI Black"/>
        <a:ea typeface=""/>
        <a:cs typeface=""/>
      </a:majorFont>
      <a:minorFont>
        <a:latin typeface="Segoe UI"/>
        <a:ea typeface=""/>
        <a:cs typeface=""/>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5b6210e-4135-4420-a88d-a3dfff2affa3">Document Template</Category>
    <Region xmlns="f5b6210e-4135-4420-a88d-a3dfff2affa3">North America</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64143BAF29B49B05347738893E86B" ma:contentTypeVersion="8" ma:contentTypeDescription="Create a new document." ma:contentTypeScope="" ma:versionID="e9af59ec556c3ea3b1bdca6e276791df">
  <xsd:schema xmlns:xsd="http://www.w3.org/2001/XMLSchema" xmlns:xs="http://www.w3.org/2001/XMLSchema" xmlns:p="http://schemas.microsoft.com/office/2006/metadata/properties" xmlns:ns2="f5b6210e-4135-4420-a88d-a3dfff2affa3" xmlns:ns3="1cc4ce46-29f4-4ef4-9455-7bdbc5fc0ca6" targetNamespace="http://schemas.microsoft.com/office/2006/metadata/properties" ma:root="true" ma:fieldsID="24b3b6dccf4865a5d5167a70447862f5" ns2:_="" ns3:_="">
    <xsd:import namespace="f5b6210e-4135-4420-a88d-a3dfff2affa3"/>
    <xsd:import namespace="1cc4ce46-29f4-4ef4-9455-7bdbc5fc0c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Category" minOccurs="0"/>
                <xsd:element ref="ns2: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6210e-4135-4420-a88d-a3dfff2af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Category" ma:index="14" nillable="true" ma:displayName="Category" ma:internalName="Category">
      <xsd:simpleType>
        <xsd:restriction base="dms:Text">
          <xsd:maxLength value="255"/>
        </xsd:restriction>
      </xsd:simpleType>
    </xsd:element>
    <xsd:element name="Region" ma:index="15" nillable="true" ma:displayName="Region" ma:internalName="Reg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4ce46-29f4-4ef4-9455-7bdbc5fc0c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f5b6210e-4135-4420-a88d-a3dfff2affa3"/>
  </ds:schemaRefs>
</ds:datastoreItem>
</file>

<file path=customXml/itemProps2.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3.xml><?xml version="1.0" encoding="utf-8"?>
<ds:datastoreItem xmlns:ds="http://schemas.openxmlformats.org/officeDocument/2006/customXml" ds:itemID="{229C0DB4-5AD4-4786-8EF9-DBFD63813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6210e-4135-4420-a88d-a3dfff2affa3"/>
    <ds:schemaRef ds:uri="1cc4ce46-29f4-4ef4-9455-7bdbc5fc0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2018-10-03T20:28:00Z</dcterms:created>
  <dcterms:modified xsi:type="dcterms:W3CDTF">2018-10-03T20:30:00Z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0x0101004EA64143BAF29B49B05347738893E86B</vt:lpwstr>
  </property>
</Properties>
</file>