
<file path=[Content_Types].xml><?xml version="1.0" encoding="utf-8"?>
<Types xmlns="http://schemas.openxmlformats.org/package/2006/content-types">
  <Default Extension="18C67840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96855">
        <w:trPr>
          <w:trHeight w:val="41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>
            <w:pPr>
              <w:pStyle w:val="Heading6"/>
              <w:spacing w:before="0" w:after="0"/>
              <w:rPr>
                <w:rFonts w:ascii="Verdana" w:hAnsi="Verdana"/>
                <w:bCs/>
                <w:szCs w:val="24"/>
              </w:rPr>
            </w:pPr>
            <w:r>
              <w:rPr>
                <w:rFonts w:ascii="Verdana" w:hAnsi="Verdana"/>
                <w:bCs/>
                <w:szCs w:val="24"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32AFB">
            <w:r>
              <w:t>9/20</w:t>
            </w:r>
            <w:r w:rsidR="00804AD3">
              <w:t>/2018</w:t>
            </w:r>
          </w:p>
        </w:tc>
      </w:tr>
      <w:tr w:rsidR="00196855">
        <w:trPr>
          <w:trHeight w:val="773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Default="00196855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96855" w:rsidRPr="00132AFB" w:rsidRDefault="00196855">
            <w:pPr>
              <w:pStyle w:val="Heading2"/>
              <w:spacing w:before="0" w:after="0"/>
              <w:ind w:left="2772" w:hanging="2772"/>
              <w:rPr>
                <w:rFonts w:ascii="Verdana" w:hAnsi="Verdana"/>
                <w:szCs w:val="24"/>
              </w:rPr>
            </w:pPr>
            <w:r w:rsidRPr="00132AFB">
              <w:rPr>
                <w:rFonts w:ascii="Verdana" w:hAnsi="Verdana"/>
                <w:szCs w:val="24"/>
              </w:rPr>
              <w:t xml:space="preserve">From:                           </w:t>
            </w:r>
          </w:p>
        </w:tc>
      </w:tr>
      <w:tr w:rsidR="00804AD3">
        <w:tc>
          <w:tcPr>
            <w:tcW w:w="2880" w:type="dxa"/>
            <w:shd w:val="clear" w:color="auto" w:fill="FFFFFF"/>
          </w:tcPr>
          <w:p w:rsidR="00804AD3" w:rsidRPr="00132AFB" w:rsidRDefault="00804AD3" w:rsidP="00804AD3">
            <w:pPr>
              <w:pStyle w:val="Header"/>
              <w:tabs>
                <w:tab w:val="clear" w:pos="4320"/>
                <w:tab w:val="clear" w:pos="8640"/>
              </w:tabs>
              <w:rPr>
                <w:rFonts w:ascii="Verdana" w:hAnsi="Verdana"/>
              </w:rPr>
            </w:pPr>
            <w:r w:rsidRPr="00132AFB">
              <w:rPr>
                <w:rFonts w:ascii="Verdana" w:hAnsi="Verdana"/>
              </w:rPr>
              <w:t xml:space="preserve">Name              </w:t>
            </w:r>
          </w:p>
        </w:tc>
        <w:tc>
          <w:tcPr>
            <w:tcW w:w="7560" w:type="dxa"/>
          </w:tcPr>
          <w:p w:rsidR="00804AD3" w:rsidRPr="00132AFB" w:rsidRDefault="00132AFB" w:rsidP="00132AFB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32AFB">
              <w:rPr>
                <w:sz w:val="24"/>
                <w:szCs w:val="24"/>
              </w:rPr>
              <w:t>Bryan Sams</w:t>
            </w:r>
          </w:p>
        </w:tc>
      </w:tr>
      <w:tr w:rsidR="00804AD3">
        <w:tc>
          <w:tcPr>
            <w:tcW w:w="2880" w:type="dxa"/>
            <w:shd w:val="clear" w:color="auto" w:fill="FFFFFF"/>
          </w:tcPr>
          <w:p w:rsidR="00804AD3" w:rsidRPr="00132AFB" w:rsidRDefault="00804AD3" w:rsidP="00804AD3">
            <w:pPr>
              <w:pStyle w:val="Header"/>
              <w:tabs>
                <w:tab w:val="clear" w:pos="4320"/>
                <w:tab w:val="clear" w:pos="8640"/>
              </w:tabs>
              <w:rPr>
                <w:rFonts w:ascii="Verdana" w:hAnsi="Verdana"/>
              </w:rPr>
            </w:pPr>
            <w:r w:rsidRPr="00132AFB">
              <w:rPr>
                <w:rFonts w:ascii="Verdana" w:hAnsi="Verdana"/>
              </w:rPr>
              <w:t>E-mail Address</w:t>
            </w:r>
          </w:p>
        </w:tc>
        <w:tc>
          <w:tcPr>
            <w:tcW w:w="7560" w:type="dxa"/>
          </w:tcPr>
          <w:p w:rsidR="00804AD3" w:rsidRPr="00132AFB" w:rsidRDefault="00132AFB" w:rsidP="00132AFB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32AFB">
              <w:rPr>
                <w:sz w:val="24"/>
                <w:szCs w:val="24"/>
              </w:rPr>
              <w:t>Bryan.Sams@nrg.com</w:t>
            </w:r>
          </w:p>
        </w:tc>
      </w:tr>
      <w:tr w:rsidR="00804AD3">
        <w:tc>
          <w:tcPr>
            <w:tcW w:w="2880" w:type="dxa"/>
            <w:shd w:val="clear" w:color="auto" w:fill="FFFFFF"/>
          </w:tcPr>
          <w:p w:rsidR="00804AD3" w:rsidRPr="00132AFB" w:rsidRDefault="00804AD3" w:rsidP="00804AD3">
            <w:pPr>
              <w:rPr>
                <w:rFonts w:ascii="Verdana" w:hAnsi="Verdana"/>
              </w:rPr>
            </w:pPr>
            <w:r w:rsidRPr="00132AFB">
              <w:rPr>
                <w:rFonts w:ascii="Verdana" w:hAnsi="Verdana"/>
              </w:rPr>
              <w:t>Company</w:t>
            </w:r>
          </w:p>
        </w:tc>
        <w:tc>
          <w:tcPr>
            <w:tcW w:w="7560" w:type="dxa"/>
          </w:tcPr>
          <w:p w:rsidR="00804AD3" w:rsidRPr="00132AFB" w:rsidRDefault="00132AFB" w:rsidP="00132AFB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132AFB">
              <w:rPr>
                <w:sz w:val="24"/>
                <w:szCs w:val="24"/>
              </w:rPr>
              <w:t>Reliant Energy Retail Services, LLC</w:t>
            </w:r>
          </w:p>
        </w:tc>
      </w:tr>
    </w:tbl>
    <w:p w:rsidR="00196855" w:rsidRDefault="00196855">
      <w:pPr>
        <w:pStyle w:val="Header"/>
        <w:tabs>
          <w:tab w:val="clear" w:pos="4320"/>
          <w:tab w:val="clear" w:pos="8640"/>
        </w:tabs>
      </w:pPr>
    </w:p>
    <w:p w:rsidR="00196855" w:rsidRDefault="00196855">
      <w:pPr>
        <w:pStyle w:val="Header"/>
        <w:tabs>
          <w:tab w:val="clear" w:pos="4320"/>
          <w:tab w:val="clear" w:pos="8640"/>
        </w:tabs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96855">
        <w:trPr>
          <w:trHeight w:val="350"/>
        </w:trPr>
        <w:tc>
          <w:tcPr>
            <w:tcW w:w="10440" w:type="dxa"/>
            <w:shd w:val="clear" w:color="auto" w:fill="FFFFFF"/>
            <w:vAlign w:val="center"/>
          </w:tcPr>
          <w:p w:rsidR="001F5B59" w:rsidRDefault="001F5B59" w:rsidP="00132AFB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Reliant appreciates </w:t>
            </w:r>
            <w:r w:rsidR="00132AFB" w:rsidRPr="00132AFB">
              <w:rPr>
                <w:rFonts w:ascii="Verdana" w:hAnsi="Verdana"/>
                <w:sz w:val="22"/>
              </w:rPr>
              <w:t xml:space="preserve">the rigor and effort ERCOT Staff has taken in their evaluation of the </w:t>
            </w:r>
            <w:proofErr w:type="spellStart"/>
            <w:r w:rsidR="00132AFB" w:rsidRPr="00132AFB">
              <w:rPr>
                <w:rFonts w:ascii="Verdana" w:hAnsi="Verdana"/>
                <w:sz w:val="22"/>
              </w:rPr>
              <w:t>Bearkat</w:t>
            </w:r>
            <w:proofErr w:type="spellEnd"/>
            <w:r w:rsidR="00132AFB" w:rsidRPr="00132AFB">
              <w:rPr>
                <w:rFonts w:ascii="Verdana" w:hAnsi="Verdana"/>
                <w:sz w:val="22"/>
              </w:rPr>
              <w:t xml:space="preserve"> Area Transmission Improvement.  </w:t>
            </w:r>
          </w:p>
          <w:p w:rsidR="001F5B59" w:rsidRDefault="001F5B59" w:rsidP="00132AFB">
            <w:pPr>
              <w:rPr>
                <w:rFonts w:ascii="Verdana" w:hAnsi="Verdana"/>
                <w:sz w:val="22"/>
              </w:rPr>
            </w:pPr>
          </w:p>
          <w:p w:rsidR="001F5B59" w:rsidRDefault="001F5B59" w:rsidP="00132AFB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Reliant believes: </w:t>
            </w:r>
          </w:p>
          <w:p w:rsidR="001F5B59" w:rsidRDefault="001F5B59" w:rsidP="00132AFB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1) RPG endorsement of the project should be conditional based upon the project costs matching the estimated project costs used to do the analysis to support this economic project, and </w:t>
            </w:r>
          </w:p>
          <w:p w:rsidR="00132AFB" w:rsidRDefault="001F5B59" w:rsidP="00132AFB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2) The long-term net societal benefit methodology used by ERCOT </w:t>
            </w:r>
            <w:r w:rsidR="00773276">
              <w:rPr>
                <w:rFonts w:ascii="Verdana" w:hAnsi="Verdana"/>
                <w:sz w:val="22"/>
              </w:rPr>
              <w:t xml:space="preserve">to </w:t>
            </w:r>
            <w:r w:rsidR="00476B0F">
              <w:rPr>
                <w:rFonts w:ascii="Verdana" w:hAnsi="Verdana"/>
                <w:sz w:val="22"/>
              </w:rPr>
              <w:t>select</w:t>
            </w:r>
            <w:r w:rsidR="00773276">
              <w:rPr>
                <w:rFonts w:ascii="Verdana" w:hAnsi="Verdana"/>
                <w:sz w:val="22"/>
              </w:rPr>
              <w:t xml:space="preserve"> project options </w:t>
            </w:r>
            <w:r>
              <w:rPr>
                <w:rFonts w:ascii="Verdana" w:hAnsi="Verdana"/>
                <w:sz w:val="22"/>
              </w:rPr>
              <w:t xml:space="preserve">should consider the full cost of each option, not just the estimated capital cost of the project.  Reliant supports a cost benefit analysis of each option; however, </w:t>
            </w:r>
            <w:r w:rsidR="00132AFB" w:rsidRPr="00132AFB">
              <w:rPr>
                <w:rFonts w:ascii="Verdana" w:hAnsi="Verdana"/>
                <w:sz w:val="22"/>
              </w:rPr>
              <w:t xml:space="preserve">Reliant disagrees with the </w:t>
            </w:r>
            <w:r w:rsidR="00856EF4">
              <w:rPr>
                <w:rFonts w:ascii="Verdana" w:hAnsi="Verdana"/>
                <w:sz w:val="22"/>
              </w:rPr>
              <w:t xml:space="preserve">current </w:t>
            </w:r>
            <w:r w:rsidR="00132AFB" w:rsidRPr="00132AFB">
              <w:rPr>
                <w:rFonts w:ascii="Verdana" w:hAnsi="Verdana"/>
                <w:sz w:val="22"/>
              </w:rPr>
              <w:t>methodology used by ERCOT to determine the</w:t>
            </w:r>
            <w:r w:rsidR="00132AFB">
              <w:rPr>
                <w:rFonts w:ascii="Verdana" w:hAnsi="Verdana"/>
                <w:sz w:val="22"/>
              </w:rPr>
              <w:t xml:space="preserve"> option with the</w:t>
            </w:r>
            <w:r w:rsidR="00132AFB" w:rsidRPr="00132AFB">
              <w:rPr>
                <w:rFonts w:ascii="Verdana" w:hAnsi="Verdana"/>
                <w:sz w:val="22"/>
              </w:rPr>
              <w:t xml:space="preserve"> best long-term net societal benefit.  </w:t>
            </w:r>
          </w:p>
          <w:p w:rsidR="00132AFB" w:rsidRDefault="00132AFB" w:rsidP="00132AFB">
            <w:pPr>
              <w:rPr>
                <w:rFonts w:ascii="Verdana" w:hAnsi="Verdana"/>
                <w:sz w:val="22"/>
              </w:rPr>
            </w:pPr>
          </w:p>
          <w:p w:rsidR="00132AFB" w:rsidRPr="00132AFB" w:rsidRDefault="00132AFB" w:rsidP="00132AFB">
            <w:pPr>
              <w:rPr>
                <w:rFonts w:ascii="Verdana" w:hAnsi="Verdana"/>
                <w:sz w:val="22"/>
              </w:rPr>
            </w:pPr>
            <w:r w:rsidRPr="00132AFB">
              <w:rPr>
                <w:rFonts w:ascii="Verdana" w:hAnsi="Verdana"/>
                <w:sz w:val="22"/>
              </w:rPr>
              <w:t>To determine the selected option ERCOT describ</w:t>
            </w:r>
            <w:r>
              <w:rPr>
                <w:rFonts w:ascii="Verdana" w:hAnsi="Verdana"/>
                <w:sz w:val="22"/>
              </w:rPr>
              <w:t>es a model in which</w:t>
            </w:r>
            <w:r w:rsidRPr="00132AFB">
              <w:rPr>
                <w:rFonts w:ascii="Verdana" w:hAnsi="Verdana"/>
                <w:sz w:val="22"/>
              </w:rPr>
              <w:t xml:space="preserve"> the production cost savings benefits of the line options are modeled using a Net Present Value (NPV) methodology.  ERCOT then subtracts the project capital costs in 2022 dollars from the discounted NPV of the prod</w:t>
            </w:r>
            <w:r w:rsidR="005E7147">
              <w:rPr>
                <w:rFonts w:ascii="Verdana" w:hAnsi="Verdana"/>
                <w:sz w:val="22"/>
              </w:rPr>
              <w:t>uction costs to determine the “net societal b</w:t>
            </w:r>
            <w:r w:rsidRPr="00132AFB">
              <w:rPr>
                <w:rFonts w:ascii="Verdana" w:hAnsi="Verdana"/>
                <w:sz w:val="22"/>
              </w:rPr>
              <w:t>enefit” of each option.  This method fails to account for the full cost of each option to determine an accur</w:t>
            </w:r>
            <w:r w:rsidR="00856EF4">
              <w:rPr>
                <w:rFonts w:ascii="Verdana" w:hAnsi="Verdana"/>
                <w:sz w:val="22"/>
              </w:rPr>
              <w:t>ate net societal b</w:t>
            </w:r>
            <w:r w:rsidRPr="00132AFB">
              <w:rPr>
                <w:rFonts w:ascii="Verdana" w:hAnsi="Verdana"/>
                <w:sz w:val="22"/>
              </w:rPr>
              <w:t xml:space="preserve">enefit.  </w:t>
            </w:r>
          </w:p>
          <w:p w:rsidR="00132AFB" w:rsidRPr="00132AFB" w:rsidRDefault="00132AFB" w:rsidP="00132AFB">
            <w:pPr>
              <w:rPr>
                <w:rFonts w:ascii="Verdana" w:hAnsi="Verdana"/>
                <w:sz w:val="22"/>
              </w:rPr>
            </w:pPr>
          </w:p>
          <w:p w:rsidR="00132AFB" w:rsidRPr="00132AFB" w:rsidRDefault="00132AFB" w:rsidP="00132AFB">
            <w:pPr>
              <w:rPr>
                <w:rFonts w:ascii="Verdana" w:hAnsi="Verdana"/>
                <w:sz w:val="22"/>
              </w:rPr>
            </w:pPr>
            <w:r w:rsidRPr="00132AFB">
              <w:rPr>
                <w:rFonts w:ascii="Verdana" w:hAnsi="Verdana"/>
                <w:sz w:val="22"/>
              </w:rPr>
              <w:t>Using only the estimated project capital costs in the analysis disregards other importan</w:t>
            </w:r>
            <w:r w:rsidR="00A92452">
              <w:rPr>
                <w:rFonts w:ascii="Verdana" w:hAnsi="Verdana"/>
                <w:sz w:val="22"/>
              </w:rPr>
              <w:t>t transmission costs including operation &amp; maintenance, d</w:t>
            </w:r>
            <w:r w:rsidRPr="00132AFB">
              <w:rPr>
                <w:rFonts w:ascii="Verdana" w:hAnsi="Verdana"/>
                <w:sz w:val="22"/>
              </w:rPr>
              <w:t>epreciati</w:t>
            </w:r>
            <w:r w:rsidR="00A92452">
              <w:rPr>
                <w:rFonts w:ascii="Verdana" w:hAnsi="Verdana"/>
                <w:sz w:val="22"/>
              </w:rPr>
              <w:t>on and amortization, t</w:t>
            </w:r>
            <w:r w:rsidR="001F5B59">
              <w:rPr>
                <w:rFonts w:ascii="Verdana" w:hAnsi="Verdana"/>
                <w:sz w:val="22"/>
              </w:rPr>
              <w:t xml:space="preserve">axes, </w:t>
            </w:r>
            <w:r w:rsidR="005E7147">
              <w:rPr>
                <w:rFonts w:ascii="Verdana" w:hAnsi="Verdana"/>
                <w:sz w:val="22"/>
              </w:rPr>
              <w:t xml:space="preserve">and </w:t>
            </w:r>
            <w:r w:rsidR="00A92452">
              <w:rPr>
                <w:rFonts w:ascii="Verdana" w:hAnsi="Verdana"/>
                <w:sz w:val="22"/>
              </w:rPr>
              <w:t>return on rate b</w:t>
            </w:r>
            <w:r w:rsidRPr="00132AFB">
              <w:rPr>
                <w:rFonts w:ascii="Verdana" w:hAnsi="Verdana"/>
                <w:sz w:val="22"/>
              </w:rPr>
              <w:t>ase</w:t>
            </w:r>
            <w:r w:rsidR="001F5B59">
              <w:rPr>
                <w:rFonts w:ascii="Verdana" w:hAnsi="Verdana"/>
                <w:sz w:val="22"/>
              </w:rPr>
              <w:t xml:space="preserve"> associated with the project.</w:t>
            </w:r>
            <w:r w:rsidRPr="00132AFB">
              <w:rPr>
                <w:rFonts w:ascii="Verdana" w:hAnsi="Verdana"/>
                <w:sz w:val="22"/>
              </w:rPr>
              <w:t xml:space="preserve">  </w:t>
            </w:r>
            <w:r w:rsidR="001F5B59">
              <w:rPr>
                <w:rFonts w:ascii="Verdana" w:hAnsi="Verdana"/>
                <w:sz w:val="22"/>
              </w:rPr>
              <w:t>All of these inputs</w:t>
            </w:r>
            <w:r w:rsidRPr="00132AFB">
              <w:rPr>
                <w:rFonts w:ascii="Verdana" w:hAnsi="Verdana"/>
                <w:sz w:val="22"/>
              </w:rPr>
              <w:t xml:space="preserve"> impact the actual cost of the line to society.  The net societal benefi</w:t>
            </w:r>
            <w:r w:rsidR="00856EF4">
              <w:rPr>
                <w:rFonts w:ascii="Verdana" w:hAnsi="Verdana"/>
                <w:sz w:val="22"/>
              </w:rPr>
              <w:t xml:space="preserve">t model should include the </w:t>
            </w:r>
            <w:r w:rsidRPr="00132AFB">
              <w:rPr>
                <w:rFonts w:ascii="Verdana" w:hAnsi="Verdana"/>
                <w:sz w:val="22"/>
              </w:rPr>
              <w:t>cost of the transmission line over the same time period of the projected production cost savings to do a true long term net societal benefit test.</w:t>
            </w:r>
            <w:r w:rsidR="00476B0F">
              <w:rPr>
                <w:rFonts w:ascii="Verdana" w:hAnsi="Verdana"/>
                <w:sz w:val="22"/>
              </w:rPr>
              <w:t xml:space="preserve">  Moreover, the model should be</w:t>
            </w:r>
            <w:bookmarkStart w:id="0" w:name="_GoBack"/>
            <w:bookmarkEnd w:id="0"/>
            <w:r w:rsidR="00476B0F">
              <w:rPr>
                <w:rFonts w:ascii="Verdana" w:hAnsi="Verdana"/>
                <w:sz w:val="22"/>
              </w:rPr>
              <w:t xml:space="preserve"> published for stakeholder review during the RPG evaluation process.  </w:t>
            </w:r>
            <w:r w:rsidRPr="00132AFB">
              <w:rPr>
                <w:rFonts w:ascii="Verdana" w:hAnsi="Verdana"/>
                <w:sz w:val="22"/>
              </w:rPr>
              <w:t xml:space="preserve"> </w:t>
            </w:r>
          </w:p>
          <w:p w:rsidR="00132AFB" w:rsidRPr="00132AFB" w:rsidRDefault="00132AFB" w:rsidP="00132AFB">
            <w:pPr>
              <w:rPr>
                <w:rFonts w:ascii="Verdana" w:hAnsi="Verdana"/>
                <w:sz w:val="22"/>
              </w:rPr>
            </w:pPr>
          </w:p>
          <w:p w:rsidR="00856EF4" w:rsidRDefault="005E7147" w:rsidP="00132AFB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Reliant agrees that in this instance, the RPG recommended option (Option 3) would likely be the same option selected if </w:t>
            </w:r>
            <w:r w:rsidR="00856EF4">
              <w:rPr>
                <w:rFonts w:ascii="Verdana" w:hAnsi="Verdana"/>
                <w:sz w:val="22"/>
              </w:rPr>
              <w:t>the net societal benefit analysis included option costs due to the small variance in capital costs and the difference in projected production costs</w:t>
            </w:r>
            <w:r w:rsidR="00885396">
              <w:rPr>
                <w:rFonts w:ascii="Verdana" w:hAnsi="Verdana"/>
                <w:sz w:val="22"/>
              </w:rPr>
              <w:t xml:space="preserve"> of Option 2 vs. Option 3</w:t>
            </w:r>
            <w:r w:rsidR="00856EF4">
              <w:rPr>
                <w:rFonts w:ascii="Verdana" w:hAnsi="Verdana"/>
                <w:sz w:val="22"/>
              </w:rPr>
              <w:t xml:space="preserve">.  However, prospectively transmission </w:t>
            </w:r>
            <w:r w:rsidR="00132AFB" w:rsidRPr="00132AFB">
              <w:rPr>
                <w:rFonts w:ascii="Verdana" w:hAnsi="Verdana"/>
                <w:sz w:val="22"/>
              </w:rPr>
              <w:t xml:space="preserve">line costs </w:t>
            </w:r>
            <w:r w:rsidR="00856EF4">
              <w:rPr>
                <w:rFonts w:ascii="Verdana" w:hAnsi="Verdana"/>
                <w:sz w:val="22"/>
              </w:rPr>
              <w:t xml:space="preserve">should </w:t>
            </w:r>
            <w:r w:rsidR="00132AFB" w:rsidRPr="00132AFB">
              <w:rPr>
                <w:rFonts w:ascii="Verdana" w:hAnsi="Verdana"/>
                <w:sz w:val="22"/>
              </w:rPr>
              <w:t xml:space="preserve">be modeled for </w:t>
            </w:r>
            <w:r w:rsidR="00132AFB" w:rsidRPr="00132AFB">
              <w:rPr>
                <w:rFonts w:ascii="Verdana" w:hAnsi="Verdana"/>
                <w:sz w:val="22"/>
              </w:rPr>
              <w:lastRenderedPageBreak/>
              <w:t>ERCOT’s selec</w:t>
            </w:r>
            <w:r w:rsidR="00856EF4">
              <w:rPr>
                <w:rFonts w:ascii="Verdana" w:hAnsi="Verdana"/>
                <w:sz w:val="22"/>
              </w:rPr>
              <w:t xml:space="preserve">tion of an </w:t>
            </w:r>
            <w:r w:rsidR="00A92452">
              <w:rPr>
                <w:rFonts w:ascii="Verdana" w:hAnsi="Verdana"/>
                <w:sz w:val="22"/>
              </w:rPr>
              <w:t xml:space="preserve">option that </w:t>
            </w:r>
            <w:r w:rsidR="00856EF4">
              <w:rPr>
                <w:rFonts w:ascii="Verdana" w:hAnsi="Verdana"/>
                <w:sz w:val="22"/>
              </w:rPr>
              <w:t>produces the greatest net societal b</w:t>
            </w:r>
            <w:r w:rsidR="00A92452">
              <w:rPr>
                <w:rFonts w:ascii="Verdana" w:hAnsi="Verdana"/>
                <w:sz w:val="22"/>
              </w:rPr>
              <w:t xml:space="preserve">enefit.  </w:t>
            </w:r>
          </w:p>
          <w:p w:rsidR="00856EF4" w:rsidRDefault="00856EF4" w:rsidP="00132AFB">
            <w:pPr>
              <w:rPr>
                <w:rFonts w:ascii="Verdana" w:hAnsi="Verdana"/>
                <w:sz w:val="22"/>
              </w:rPr>
            </w:pPr>
          </w:p>
          <w:p w:rsidR="00C277A0" w:rsidRDefault="00856EF4" w:rsidP="0042110C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Reliant asks that the RPG net societal benefit process be reformed to include the cost of transmission line options and that ERCOT state that the RPG endorsement</w:t>
            </w:r>
            <w:r w:rsidR="00885396">
              <w:rPr>
                <w:rFonts w:ascii="Verdana" w:hAnsi="Verdana"/>
                <w:sz w:val="22"/>
              </w:rPr>
              <w:t xml:space="preserve"> of the </w:t>
            </w:r>
            <w:proofErr w:type="spellStart"/>
            <w:r w:rsidR="00885396">
              <w:rPr>
                <w:rFonts w:ascii="Verdana" w:hAnsi="Verdana"/>
                <w:sz w:val="22"/>
              </w:rPr>
              <w:t>Bearkat</w:t>
            </w:r>
            <w:proofErr w:type="spellEnd"/>
            <w:r w:rsidR="00885396">
              <w:rPr>
                <w:rFonts w:ascii="Verdana" w:hAnsi="Verdana"/>
                <w:sz w:val="22"/>
              </w:rPr>
              <w:t xml:space="preserve"> Area Transmission Improvement</w:t>
            </w:r>
            <w:r>
              <w:rPr>
                <w:rFonts w:ascii="Verdana" w:hAnsi="Verdana"/>
                <w:sz w:val="22"/>
              </w:rPr>
              <w:t xml:space="preserve"> is contingent upon the project cost estimates</w:t>
            </w:r>
            <w:r w:rsidR="00885396">
              <w:rPr>
                <w:rFonts w:ascii="Verdana" w:hAnsi="Verdana"/>
                <w:sz w:val="22"/>
              </w:rPr>
              <w:t xml:space="preserve"> included in the study</w:t>
            </w:r>
            <w:r>
              <w:rPr>
                <w:rFonts w:ascii="Verdana" w:hAnsi="Verdana"/>
                <w:sz w:val="22"/>
              </w:rPr>
              <w:t>.</w:t>
            </w:r>
          </w:p>
          <w:p w:rsidR="00C277A0" w:rsidRPr="00E174A1" w:rsidRDefault="00C277A0" w:rsidP="0042110C">
            <w:pPr>
              <w:rPr>
                <w:rFonts w:ascii="Verdana" w:hAnsi="Verdana"/>
                <w:sz w:val="22"/>
              </w:rPr>
            </w:pPr>
          </w:p>
        </w:tc>
      </w:tr>
    </w:tbl>
    <w:p w:rsidR="00196855" w:rsidRDefault="00196855" w:rsidP="001F5B59">
      <w:pPr>
        <w:autoSpaceDE w:val="0"/>
        <w:autoSpaceDN w:val="0"/>
        <w:adjustRightInd w:val="0"/>
      </w:pPr>
    </w:p>
    <w:sectPr w:rsidR="00196855" w:rsidSect="002C2858">
      <w:headerReference w:type="default" r:id="rId8"/>
      <w:footerReference w:type="default" r:id="rId9"/>
      <w:pgSz w:w="12240" w:h="15840" w:code="1"/>
      <w:pgMar w:top="1440" w:right="126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697" w:rsidRDefault="005D5697">
      <w:r>
        <w:separator/>
      </w:r>
    </w:p>
  </w:endnote>
  <w:endnote w:type="continuationSeparator" w:id="0">
    <w:p w:rsidR="005D5697" w:rsidRDefault="005D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58" w:rsidRPr="007E0288" w:rsidRDefault="000D068B" w:rsidP="007E0288">
    <w:pPr>
      <w:pStyle w:val="Header"/>
      <w:tabs>
        <w:tab w:val="left" w:pos="2160"/>
      </w:tabs>
      <w:rPr>
        <w:rFonts w:asciiTheme="minorHAnsi" w:hAnsiTheme="minorHAnsi"/>
        <w:sz w:val="18"/>
        <w:szCs w:val="18"/>
      </w:rPr>
    </w:pPr>
    <w:r>
      <w:rPr>
        <w:rFonts w:ascii="Verdana" w:hAnsi="Verdana"/>
        <w:sz w:val="18"/>
      </w:rPr>
      <w:tab/>
    </w:r>
    <w:r>
      <w:rPr>
        <w:rFonts w:ascii="Verdana" w:hAnsi="Verdana"/>
        <w:sz w:val="18"/>
      </w:rPr>
      <w:tab/>
    </w:r>
    <w:r w:rsidR="002C2858">
      <w:rPr>
        <w:rFonts w:ascii="Verdana" w:hAnsi="Verdana"/>
        <w:sz w:val="18"/>
      </w:rPr>
      <w:tab/>
    </w:r>
    <w:r w:rsidR="006F5E8D">
      <w:rPr>
        <w:rFonts w:ascii="Verdana" w:hAnsi="Verdana"/>
        <w:sz w:val="18"/>
      </w:rPr>
      <w:tab/>
    </w:r>
    <w:r w:rsidR="006F5E8D">
      <w:rPr>
        <w:rFonts w:ascii="Verdana" w:hAnsi="Verdana"/>
        <w:sz w:val="18"/>
      </w:rPr>
      <w:tab/>
    </w:r>
    <w:r w:rsidR="00156083">
      <w:rPr>
        <w:rFonts w:ascii="Verdana" w:hAnsi="Verdana"/>
        <w:sz w:val="18"/>
      </w:rPr>
      <w:tab/>
    </w:r>
    <w:r w:rsidR="00156083">
      <w:rPr>
        <w:rFonts w:ascii="Verdana" w:hAnsi="Verdana"/>
        <w:sz w:val="18"/>
      </w:rPr>
      <w:tab/>
    </w:r>
    <w:r w:rsidR="002C2858">
      <w:rPr>
        <w:rFonts w:ascii="Verdana" w:hAnsi="Verdana"/>
        <w:sz w:val="18"/>
      </w:rPr>
      <w:t xml:space="preserve">Page: </w:t>
    </w:r>
    <w:r w:rsidR="00622096">
      <w:rPr>
        <w:rFonts w:ascii="Verdana" w:hAnsi="Verdana"/>
        <w:sz w:val="18"/>
      </w:rPr>
      <w:fldChar w:fldCharType="begin"/>
    </w:r>
    <w:r w:rsidR="002C2858">
      <w:rPr>
        <w:rFonts w:ascii="Verdana" w:hAnsi="Verdana"/>
        <w:sz w:val="18"/>
      </w:rPr>
      <w:instrText xml:space="preserve"> PAGE </w:instrText>
    </w:r>
    <w:r w:rsidR="00622096">
      <w:rPr>
        <w:rFonts w:ascii="Verdana" w:hAnsi="Verdana"/>
        <w:sz w:val="18"/>
      </w:rPr>
      <w:fldChar w:fldCharType="separate"/>
    </w:r>
    <w:r w:rsidR="00DD6E2B">
      <w:rPr>
        <w:rFonts w:ascii="Verdana" w:hAnsi="Verdana"/>
        <w:noProof/>
        <w:sz w:val="18"/>
      </w:rPr>
      <w:t>1</w:t>
    </w:r>
    <w:r w:rsidR="00622096">
      <w:rPr>
        <w:rFonts w:ascii="Verdana" w:hAnsi="Verda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697" w:rsidRDefault="005D5697">
      <w:r>
        <w:separator/>
      </w:r>
    </w:p>
  </w:footnote>
  <w:footnote w:type="continuationSeparator" w:id="0">
    <w:p w:rsidR="005D5697" w:rsidRDefault="005D5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92" w:rsidRDefault="00C92971" w:rsidP="00C92971">
    <w:pPr>
      <w:pStyle w:val="Header"/>
      <w:tabs>
        <w:tab w:val="left" w:pos="2160"/>
      </w:tabs>
      <w:jc w:val="both"/>
    </w:pPr>
    <w:r>
      <w:rPr>
        <w:noProof/>
      </w:rPr>
      <w:drawing>
        <wp:inline distT="0" distB="0" distL="0" distR="0" wp14:anchorId="75ACF3A9" wp14:editId="070C9FFF">
          <wp:extent cx="1171575" cy="46672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5489" w:rsidRPr="00C55489" w:rsidRDefault="00C55489" w:rsidP="00C55489">
    <w:pPr>
      <w:pStyle w:val="Header"/>
      <w:tabs>
        <w:tab w:val="left" w:pos="2160"/>
      </w:tabs>
      <w:ind w:left="2160"/>
      <w:rPr>
        <w:rFonts w:ascii="Verdana" w:hAnsi="Verdana"/>
        <w:b/>
        <w:bCs/>
        <w:color w:val="000000"/>
        <w:sz w:val="28"/>
        <w:szCs w:val="36"/>
      </w:rPr>
    </w:pPr>
    <w:r w:rsidRPr="00C55489">
      <w:rPr>
        <w:rFonts w:ascii="Verdana" w:hAnsi="Verdana"/>
        <w:b/>
        <w:bCs/>
        <w:color w:val="000000"/>
        <w:sz w:val="28"/>
        <w:szCs w:val="36"/>
      </w:rPr>
      <w:t>Bearkat Area Transmission Improvements</w:t>
    </w:r>
  </w:p>
  <w:p w:rsidR="00C55489" w:rsidRPr="00C55489" w:rsidRDefault="00C55489" w:rsidP="00C55489">
    <w:pPr>
      <w:pStyle w:val="Header"/>
      <w:tabs>
        <w:tab w:val="left" w:pos="2160"/>
      </w:tabs>
      <w:ind w:left="2160"/>
      <w:rPr>
        <w:rFonts w:ascii="Verdana" w:hAnsi="Verdana"/>
        <w:b/>
        <w:bCs/>
        <w:color w:val="000000"/>
        <w:sz w:val="28"/>
        <w:szCs w:val="36"/>
      </w:rPr>
    </w:pPr>
    <w:r w:rsidRPr="00C55489">
      <w:rPr>
        <w:rFonts w:ascii="Verdana" w:hAnsi="Verdana"/>
        <w:b/>
        <w:bCs/>
        <w:color w:val="000000"/>
        <w:sz w:val="28"/>
        <w:szCs w:val="36"/>
      </w:rPr>
      <w:t>Project (ERCOT Independent Review)–</w:t>
    </w:r>
  </w:p>
  <w:p w:rsidR="00070715" w:rsidRPr="00AD4135" w:rsidRDefault="00C55489" w:rsidP="00C55489">
    <w:pPr>
      <w:pStyle w:val="Header"/>
      <w:tabs>
        <w:tab w:val="left" w:pos="2160"/>
      </w:tabs>
      <w:ind w:left="2160"/>
      <w:rPr>
        <w:rFonts w:ascii="Verdana" w:hAnsi="Verdana"/>
        <w:b/>
        <w:sz w:val="28"/>
      </w:rPr>
    </w:pPr>
    <w:r w:rsidRPr="00C55489">
      <w:rPr>
        <w:rFonts w:ascii="Verdana" w:hAnsi="Verdana"/>
        <w:b/>
        <w:bCs/>
        <w:color w:val="000000"/>
        <w:sz w:val="28"/>
        <w:szCs w:val="36"/>
      </w:rPr>
      <w:t>Comment Form</w:t>
    </w:r>
  </w:p>
  <w:p w:rsidR="002C2858" w:rsidRDefault="002C2858" w:rsidP="00BD7913">
    <w:pPr>
      <w:pStyle w:val="Header"/>
      <w:jc w:val="both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30BF4"/>
    <w:multiLevelType w:val="hybridMultilevel"/>
    <w:tmpl w:val="CF14D3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DA32DE"/>
    <w:multiLevelType w:val="hybridMultilevel"/>
    <w:tmpl w:val="491872D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11747"/>
    <w:rsid w:val="00030CC0"/>
    <w:rsid w:val="00040076"/>
    <w:rsid w:val="00060D11"/>
    <w:rsid w:val="00061EA5"/>
    <w:rsid w:val="00064F33"/>
    <w:rsid w:val="00070715"/>
    <w:rsid w:val="00087FBF"/>
    <w:rsid w:val="000A25F3"/>
    <w:rsid w:val="000A31F6"/>
    <w:rsid w:val="000C4161"/>
    <w:rsid w:val="000D068B"/>
    <w:rsid w:val="000E7E4F"/>
    <w:rsid w:val="000F0185"/>
    <w:rsid w:val="00103A59"/>
    <w:rsid w:val="00110292"/>
    <w:rsid w:val="00132AFB"/>
    <w:rsid w:val="001343F4"/>
    <w:rsid w:val="0014078A"/>
    <w:rsid w:val="00146876"/>
    <w:rsid w:val="00147570"/>
    <w:rsid w:val="001506AD"/>
    <w:rsid w:val="00156083"/>
    <w:rsid w:val="00196855"/>
    <w:rsid w:val="001A6522"/>
    <w:rsid w:val="001C1A8C"/>
    <w:rsid w:val="001C61C3"/>
    <w:rsid w:val="001F5904"/>
    <w:rsid w:val="001F5B59"/>
    <w:rsid w:val="002827E1"/>
    <w:rsid w:val="00282DFB"/>
    <w:rsid w:val="00291A91"/>
    <w:rsid w:val="002B289C"/>
    <w:rsid w:val="002C2858"/>
    <w:rsid w:val="002F3768"/>
    <w:rsid w:val="003022A5"/>
    <w:rsid w:val="0031139D"/>
    <w:rsid w:val="00312BE1"/>
    <w:rsid w:val="003261F4"/>
    <w:rsid w:val="0033413F"/>
    <w:rsid w:val="00352D30"/>
    <w:rsid w:val="003561A4"/>
    <w:rsid w:val="0038190E"/>
    <w:rsid w:val="00382A9C"/>
    <w:rsid w:val="003837FC"/>
    <w:rsid w:val="0038712D"/>
    <w:rsid w:val="00391290"/>
    <w:rsid w:val="003924DF"/>
    <w:rsid w:val="00395687"/>
    <w:rsid w:val="003B000D"/>
    <w:rsid w:val="003B4D63"/>
    <w:rsid w:val="003C5795"/>
    <w:rsid w:val="003D10CA"/>
    <w:rsid w:val="003D7D3A"/>
    <w:rsid w:val="003E3F1C"/>
    <w:rsid w:val="003F008E"/>
    <w:rsid w:val="00402A01"/>
    <w:rsid w:val="00403B0F"/>
    <w:rsid w:val="00405F31"/>
    <w:rsid w:val="0040613A"/>
    <w:rsid w:val="0042110C"/>
    <w:rsid w:val="00426824"/>
    <w:rsid w:val="00427695"/>
    <w:rsid w:val="00446C6B"/>
    <w:rsid w:val="0045170F"/>
    <w:rsid w:val="00461521"/>
    <w:rsid w:val="00473DF2"/>
    <w:rsid w:val="004763FE"/>
    <w:rsid w:val="00476B0F"/>
    <w:rsid w:val="004964F4"/>
    <w:rsid w:val="004A2980"/>
    <w:rsid w:val="004B6219"/>
    <w:rsid w:val="004C2809"/>
    <w:rsid w:val="004D468C"/>
    <w:rsid w:val="00520723"/>
    <w:rsid w:val="00542935"/>
    <w:rsid w:val="00576811"/>
    <w:rsid w:val="00590A19"/>
    <w:rsid w:val="00590B07"/>
    <w:rsid w:val="005A2FF6"/>
    <w:rsid w:val="005C7AE4"/>
    <w:rsid w:val="005C7F31"/>
    <w:rsid w:val="005D5697"/>
    <w:rsid w:val="005E574C"/>
    <w:rsid w:val="005E7147"/>
    <w:rsid w:val="005F4060"/>
    <w:rsid w:val="00606AA9"/>
    <w:rsid w:val="006116CD"/>
    <w:rsid w:val="00615B96"/>
    <w:rsid w:val="00616BB1"/>
    <w:rsid w:val="006205D4"/>
    <w:rsid w:val="00622096"/>
    <w:rsid w:val="006349F5"/>
    <w:rsid w:val="0063546A"/>
    <w:rsid w:val="00643597"/>
    <w:rsid w:val="006721C6"/>
    <w:rsid w:val="00686A28"/>
    <w:rsid w:val="00693370"/>
    <w:rsid w:val="00697F89"/>
    <w:rsid w:val="006A58FD"/>
    <w:rsid w:val="006C51CB"/>
    <w:rsid w:val="006E09D0"/>
    <w:rsid w:val="006F5E8D"/>
    <w:rsid w:val="007031E4"/>
    <w:rsid w:val="00704EF7"/>
    <w:rsid w:val="00713B9E"/>
    <w:rsid w:val="00726603"/>
    <w:rsid w:val="00733E41"/>
    <w:rsid w:val="007460CF"/>
    <w:rsid w:val="00771596"/>
    <w:rsid w:val="00773276"/>
    <w:rsid w:val="00783C2F"/>
    <w:rsid w:val="007C71F2"/>
    <w:rsid w:val="007D0202"/>
    <w:rsid w:val="007E0288"/>
    <w:rsid w:val="007F5091"/>
    <w:rsid w:val="007F5B86"/>
    <w:rsid w:val="00804AD3"/>
    <w:rsid w:val="00855CFC"/>
    <w:rsid w:val="00856EF4"/>
    <w:rsid w:val="008721F4"/>
    <w:rsid w:val="00885396"/>
    <w:rsid w:val="008B5D0C"/>
    <w:rsid w:val="008D39D6"/>
    <w:rsid w:val="008E4EEC"/>
    <w:rsid w:val="008F16F1"/>
    <w:rsid w:val="00951319"/>
    <w:rsid w:val="00965795"/>
    <w:rsid w:val="009875F7"/>
    <w:rsid w:val="009A3665"/>
    <w:rsid w:val="009A6F51"/>
    <w:rsid w:val="009B583F"/>
    <w:rsid w:val="009B7093"/>
    <w:rsid w:val="009C11E4"/>
    <w:rsid w:val="009C793A"/>
    <w:rsid w:val="009D1256"/>
    <w:rsid w:val="009E7A2D"/>
    <w:rsid w:val="009F0390"/>
    <w:rsid w:val="00A12FFC"/>
    <w:rsid w:val="00A15A19"/>
    <w:rsid w:val="00A24B45"/>
    <w:rsid w:val="00A32613"/>
    <w:rsid w:val="00A44986"/>
    <w:rsid w:val="00A92452"/>
    <w:rsid w:val="00AA4FF6"/>
    <w:rsid w:val="00AA54F9"/>
    <w:rsid w:val="00AC1B4F"/>
    <w:rsid w:val="00AC3945"/>
    <w:rsid w:val="00AC6239"/>
    <w:rsid w:val="00AD4135"/>
    <w:rsid w:val="00AE42E6"/>
    <w:rsid w:val="00AF3452"/>
    <w:rsid w:val="00AF768F"/>
    <w:rsid w:val="00B65A7B"/>
    <w:rsid w:val="00B941DD"/>
    <w:rsid w:val="00B961A3"/>
    <w:rsid w:val="00BB6F01"/>
    <w:rsid w:val="00BD7275"/>
    <w:rsid w:val="00BD7913"/>
    <w:rsid w:val="00BF3192"/>
    <w:rsid w:val="00BF3F4B"/>
    <w:rsid w:val="00BF549C"/>
    <w:rsid w:val="00C171CB"/>
    <w:rsid w:val="00C20F19"/>
    <w:rsid w:val="00C277A0"/>
    <w:rsid w:val="00C341EF"/>
    <w:rsid w:val="00C456E1"/>
    <w:rsid w:val="00C476CA"/>
    <w:rsid w:val="00C55489"/>
    <w:rsid w:val="00C77C2B"/>
    <w:rsid w:val="00C91EB5"/>
    <w:rsid w:val="00C92971"/>
    <w:rsid w:val="00CD0F5D"/>
    <w:rsid w:val="00CE675D"/>
    <w:rsid w:val="00CF6222"/>
    <w:rsid w:val="00D05E4C"/>
    <w:rsid w:val="00D56531"/>
    <w:rsid w:val="00D56F8E"/>
    <w:rsid w:val="00D6032D"/>
    <w:rsid w:val="00D61A49"/>
    <w:rsid w:val="00D821CD"/>
    <w:rsid w:val="00D9024E"/>
    <w:rsid w:val="00DA37F3"/>
    <w:rsid w:val="00DC67DB"/>
    <w:rsid w:val="00DD6E2B"/>
    <w:rsid w:val="00DF0AE4"/>
    <w:rsid w:val="00DF2C33"/>
    <w:rsid w:val="00E0024B"/>
    <w:rsid w:val="00E03AC4"/>
    <w:rsid w:val="00E16DE3"/>
    <w:rsid w:val="00E174A1"/>
    <w:rsid w:val="00E44405"/>
    <w:rsid w:val="00E6397C"/>
    <w:rsid w:val="00E8452C"/>
    <w:rsid w:val="00E845BF"/>
    <w:rsid w:val="00E979D7"/>
    <w:rsid w:val="00EB4E21"/>
    <w:rsid w:val="00ED72E5"/>
    <w:rsid w:val="00F061EE"/>
    <w:rsid w:val="00F25278"/>
    <w:rsid w:val="00F36060"/>
    <w:rsid w:val="00F5362E"/>
    <w:rsid w:val="00F57F9E"/>
    <w:rsid w:val="00F714A4"/>
    <w:rsid w:val="00F846FA"/>
    <w:rsid w:val="00F84788"/>
    <w:rsid w:val="00F8721D"/>
    <w:rsid w:val="00FA0AB9"/>
    <w:rsid w:val="00FD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4B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BF3F4B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BF3F4B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BF3F4B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BF3F4B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BF3F4B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BF3F4B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BF3F4B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BF3F4B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BF3F4B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F3F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3F4B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BF3F4B"/>
    <w:pPr>
      <w:spacing w:after="120"/>
    </w:pPr>
  </w:style>
  <w:style w:type="paragraph" w:customStyle="1" w:styleId="TXUHeader">
    <w:name w:val="TXUHeader"/>
    <w:basedOn w:val="TXUNormal"/>
    <w:rsid w:val="00BF3F4B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BF3F4B"/>
    <w:rPr>
      <w:sz w:val="24"/>
    </w:rPr>
  </w:style>
  <w:style w:type="paragraph" w:customStyle="1" w:styleId="TXUSubject">
    <w:name w:val="TXUSubject"/>
    <w:basedOn w:val="TXUNormal"/>
    <w:next w:val="TXUNormal"/>
    <w:rsid w:val="00BF3F4B"/>
    <w:pPr>
      <w:spacing w:after="240"/>
    </w:pPr>
    <w:rPr>
      <w:b/>
    </w:rPr>
  </w:style>
  <w:style w:type="paragraph" w:customStyle="1" w:styleId="TXUFooter">
    <w:name w:val="TXUFooter"/>
    <w:basedOn w:val="TXUNormal"/>
    <w:rsid w:val="00BF3F4B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BF3F4B"/>
    <w:rPr>
      <w:sz w:val="20"/>
    </w:rPr>
  </w:style>
  <w:style w:type="paragraph" w:customStyle="1" w:styleId="Comments">
    <w:name w:val="Comments"/>
    <w:basedOn w:val="Normal"/>
    <w:rsid w:val="00BF3F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BF3F4B"/>
    <w:rPr>
      <w:color w:val="0000FF"/>
      <w:u w:val="single"/>
    </w:rPr>
  </w:style>
  <w:style w:type="paragraph" w:styleId="BodyText">
    <w:name w:val="Body Text"/>
    <w:basedOn w:val="Normal"/>
    <w:rsid w:val="00BF3F4B"/>
    <w:pPr>
      <w:spacing w:before="120" w:after="120"/>
    </w:pPr>
  </w:style>
  <w:style w:type="paragraph" w:styleId="BodyTextIndent">
    <w:name w:val="Body Text Indent"/>
    <w:basedOn w:val="Normal"/>
    <w:rsid w:val="00BF3F4B"/>
    <w:pPr>
      <w:spacing w:before="120" w:after="120"/>
      <w:ind w:left="720"/>
    </w:pPr>
  </w:style>
  <w:style w:type="paragraph" w:styleId="FootnoteText">
    <w:name w:val="footnote text"/>
    <w:basedOn w:val="Normal"/>
    <w:semiHidden/>
    <w:rsid w:val="00BF3F4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F3F4B"/>
    <w:rPr>
      <w:vertAlign w:val="superscript"/>
    </w:rPr>
  </w:style>
  <w:style w:type="paragraph" w:styleId="PlainText">
    <w:name w:val="Plain Text"/>
    <w:basedOn w:val="Normal"/>
    <w:rsid w:val="00BF3F4B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rsid w:val="00BF3F4B"/>
    <w:pPr>
      <w:spacing w:before="100" w:beforeAutospacing="1" w:after="100" w:afterAutospacing="1"/>
    </w:pPr>
  </w:style>
  <w:style w:type="paragraph" w:styleId="Title">
    <w:name w:val="Title"/>
    <w:basedOn w:val="Normal"/>
    <w:qFormat/>
    <w:rsid w:val="00BF3F4B"/>
    <w:pPr>
      <w:jc w:val="center"/>
    </w:pPr>
    <w:rPr>
      <w:b/>
      <w:bCs/>
    </w:rPr>
  </w:style>
  <w:style w:type="character" w:styleId="FollowedHyperlink">
    <w:name w:val="FollowedHyperlink"/>
    <w:basedOn w:val="DefaultParagraphFont"/>
    <w:rsid w:val="00BF3F4B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102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70715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04AD3"/>
    <w:pPr>
      <w:widowControl w:val="0"/>
      <w:autoSpaceDE w:val="0"/>
      <w:autoSpaceDN w:val="0"/>
      <w:spacing w:line="265" w:lineRule="exact"/>
      <w:ind w:left="103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04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4B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BF3F4B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BF3F4B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BF3F4B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BF3F4B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BF3F4B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BF3F4B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BF3F4B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BF3F4B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BF3F4B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F3F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3F4B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BF3F4B"/>
    <w:pPr>
      <w:spacing w:after="120"/>
    </w:pPr>
  </w:style>
  <w:style w:type="paragraph" w:customStyle="1" w:styleId="TXUHeader">
    <w:name w:val="TXUHeader"/>
    <w:basedOn w:val="TXUNormal"/>
    <w:rsid w:val="00BF3F4B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BF3F4B"/>
    <w:rPr>
      <w:sz w:val="24"/>
    </w:rPr>
  </w:style>
  <w:style w:type="paragraph" w:customStyle="1" w:styleId="TXUSubject">
    <w:name w:val="TXUSubject"/>
    <w:basedOn w:val="TXUNormal"/>
    <w:next w:val="TXUNormal"/>
    <w:rsid w:val="00BF3F4B"/>
    <w:pPr>
      <w:spacing w:after="240"/>
    </w:pPr>
    <w:rPr>
      <w:b/>
    </w:rPr>
  </w:style>
  <w:style w:type="paragraph" w:customStyle="1" w:styleId="TXUFooter">
    <w:name w:val="TXUFooter"/>
    <w:basedOn w:val="TXUNormal"/>
    <w:rsid w:val="00BF3F4B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BF3F4B"/>
    <w:rPr>
      <w:sz w:val="20"/>
    </w:rPr>
  </w:style>
  <w:style w:type="paragraph" w:customStyle="1" w:styleId="Comments">
    <w:name w:val="Comments"/>
    <w:basedOn w:val="Normal"/>
    <w:rsid w:val="00BF3F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BF3F4B"/>
    <w:rPr>
      <w:color w:val="0000FF"/>
      <w:u w:val="single"/>
    </w:rPr>
  </w:style>
  <w:style w:type="paragraph" w:styleId="BodyText">
    <w:name w:val="Body Text"/>
    <w:basedOn w:val="Normal"/>
    <w:rsid w:val="00BF3F4B"/>
    <w:pPr>
      <w:spacing w:before="120" w:after="120"/>
    </w:pPr>
  </w:style>
  <w:style w:type="paragraph" w:styleId="BodyTextIndent">
    <w:name w:val="Body Text Indent"/>
    <w:basedOn w:val="Normal"/>
    <w:rsid w:val="00BF3F4B"/>
    <w:pPr>
      <w:spacing w:before="120" w:after="120"/>
      <w:ind w:left="720"/>
    </w:pPr>
  </w:style>
  <w:style w:type="paragraph" w:styleId="FootnoteText">
    <w:name w:val="footnote text"/>
    <w:basedOn w:val="Normal"/>
    <w:semiHidden/>
    <w:rsid w:val="00BF3F4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F3F4B"/>
    <w:rPr>
      <w:vertAlign w:val="superscript"/>
    </w:rPr>
  </w:style>
  <w:style w:type="paragraph" w:styleId="PlainText">
    <w:name w:val="Plain Text"/>
    <w:basedOn w:val="Normal"/>
    <w:rsid w:val="00BF3F4B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rsid w:val="00BF3F4B"/>
    <w:pPr>
      <w:spacing w:before="100" w:beforeAutospacing="1" w:after="100" w:afterAutospacing="1"/>
    </w:pPr>
  </w:style>
  <w:style w:type="paragraph" w:styleId="Title">
    <w:name w:val="Title"/>
    <w:basedOn w:val="Normal"/>
    <w:qFormat/>
    <w:rsid w:val="00BF3F4B"/>
    <w:pPr>
      <w:jc w:val="center"/>
    </w:pPr>
    <w:rPr>
      <w:b/>
      <w:bCs/>
    </w:rPr>
  </w:style>
  <w:style w:type="character" w:styleId="FollowedHyperlink">
    <w:name w:val="FollowedHyperlink"/>
    <w:basedOn w:val="DefaultParagraphFont"/>
    <w:rsid w:val="00BF3F4B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102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70715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04AD3"/>
    <w:pPr>
      <w:widowControl w:val="0"/>
      <w:autoSpaceDE w:val="0"/>
      <w:autoSpaceDN w:val="0"/>
      <w:spacing w:line="265" w:lineRule="exact"/>
      <w:ind w:left="103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804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3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18C6784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The Electric Reliability Council of Texas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ERCOT-jbillo</dc:creator>
  <cp:lastModifiedBy>Reliant Energy </cp:lastModifiedBy>
  <cp:revision>3</cp:revision>
  <cp:lastPrinted>2006-03-13T21:12:00Z</cp:lastPrinted>
  <dcterms:created xsi:type="dcterms:W3CDTF">2018-09-20T19:39:00Z</dcterms:created>
  <dcterms:modified xsi:type="dcterms:W3CDTF">2018-09-20T19:39:00Z</dcterms:modified>
</cp:coreProperties>
</file>