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382AD5" w:rsidTr="00382AD5">
        <w:tc>
          <w:tcPr>
            <w:tcW w:w="9350" w:type="dxa"/>
          </w:tcPr>
          <w:p w:rsidR="00382AD5" w:rsidRPr="00040564" w:rsidRDefault="00922B44" w:rsidP="005D751C">
            <w:pPr>
              <w:pStyle w:val="Heading5"/>
              <w:keepNext w:val="0"/>
              <w:spacing w:after="240"/>
              <w:jc w:val="both"/>
              <w:outlineLvl w:val="4"/>
              <w:rPr>
                <w:rFonts w:ascii="Arial" w:hAnsi="Arial" w:cs="Arial"/>
                <w:b/>
                <w:bCs/>
              </w:rPr>
            </w:pPr>
            <w:r>
              <w:rPr>
                <w:rFonts w:ascii="Arial" w:hAnsi="Arial" w:cs="Arial"/>
                <w:b/>
                <w:bCs/>
              </w:rPr>
              <w:t>Determination</w:t>
            </w:r>
            <w:r w:rsidR="00382AD5">
              <w:rPr>
                <w:rFonts w:ascii="Arial" w:hAnsi="Arial" w:cs="Arial"/>
                <w:b/>
                <w:bCs/>
              </w:rPr>
              <w:t>:</w:t>
            </w:r>
          </w:p>
          <w:p w:rsidR="001512E5" w:rsidRPr="001512E5" w:rsidRDefault="00FD1FCE" w:rsidP="00FA11BC">
            <w:pPr>
              <w:spacing w:after="240"/>
              <w:jc w:val="both"/>
              <w:rPr>
                <w:rFonts w:ascii="Arial" w:hAnsi="Arial" w:cs="Arial"/>
              </w:rPr>
            </w:pPr>
            <w:r>
              <w:rPr>
                <w:rFonts w:ascii="Arial" w:hAnsi="Arial" w:cs="Arial"/>
              </w:rPr>
              <w:t xml:space="preserve">Although ERCOT Staff recognizes potential price formation issues, ERCOT </w:t>
            </w:r>
            <w:r w:rsidR="00FA11BC">
              <w:rPr>
                <w:rFonts w:ascii="Arial" w:hAnsi="Arial" w:cs="Arial"/>
              </w:rPr>
              <w:t>Staff ha</w:t>
            </w:r>
            <w:r>
              <w:rPr>
                <w:rFonts w:ascii="Arial" w:hAnsi="Arial" w:cs="Arial"/>
              </w:rPr>
              <w:t>s</w:t>
            </w:r>
            <w:r w:rsidR="00FA11BC">
              <w:rPr>
                <w:rFonts w:ascii="Arial" w:hAnsi="Arial" w:cs="Arial"/>
              </w:rPr>
              <w:t xml:space="preserve"> identified no need for additional</w:t>
            </w:r>
            <w:r w:rsidR="002C200A">
              <w:rPr>
                <w:rFonts w:ascii="Arial" w:hAnsi="Arial" w:cs="Arial"/>
              </w:rPr>
              <w:t xml:space="preserve"> market changes </w:t>
            </w:r>
            <w:r w:rsidR="00FA11BC">
              <w:rPr>
                <w:rFonts w:ascii="Arial" w:hAnsi="Arial" w:cs="Arial"/>
              </w:rPr>
              <w:t>at this time</w:t>
            </w:r>
            <w:r w:rsidR="002C200A">
              <w:rPr>
                <w:rFonts w:ascii="Arial" w:hAnsi="Arial" w:cs="Arial"/>
              </w:rPr>
              <w:t xml:space="preserve">. </w:t>
            </w:r>
          </w:p>
        </w:tc>
      </w:tr>
      <w:tr w:rsidR="00DB64CD" w:rsidTr="0034542C">
        <w:tc>
          <w:tcPr>
            <w:tcW w:w="9350" w:type="dxa"/>
          </w:tcPr>
          <w:p w:rsidR="00DB64CD" w:rsidRPr="00A17780" w:rsidRDefault="00DB64CD" w:rsidP="0034542C">
            <w:pPr>
              <w:pStyle w:val="Heading5"/>
              <w:keepNext w:val="0"/>
              <w:jc w:val="both"/>
              <w:outlineLvl w:val="4"/>
              <w:rPr>
                <w:rFonts w:ascii="Arial" w:hAnsi="Arial" w:cs="Arial"/>
                <w:b/>
                <w:bCs/>
              </w:rPr>
            </w:pPr>
            <w:r w:rsidRPr="00A17780">
              <w:rPr>
                <w:rFonts w:ascii="Arial" w:hAnsi="Arial" w:cs="Arial"/>
                <w:b/>
                <w:bCs/>
              </w:rPr>
              <w:t>Background/History:</w:t>
            </w:r>
          </w:p>
          <w:p w:rsidR="00E6299A" w:rsidRDefault="00931823" w:rsidP="005F4F00">
            <w:pPr>
              <w:jc w:val="both"/>
              <w:rPr>
                <w:rFonts w:ascii="Arial" w:hAnsi="Arial" w:cs="Arial"/>
              </w:rPr>
            </w:pPr>
            <w:r>
              <w:rPr>
                <w:rFonts w:ascii="Arial" w:hAnsi="Arial" w:cs="Arial"/>
              </w:rPr>
              <w:t xml:space="preserve">The </w:t>
            </w:r>
            <w:r w:rsidR="002C200A">
              <w:rPr>
                <w:rFonts w:ascii="Arial" w:hAnsi="Arial" w:cs="Arial"/>
              </w:rPr>
              <w:t>Public Utility Commission of Texas (</w:t>
            </w:r>
            <w:r w:rsidR="008105A1">
              <w:rPr>
                <w:rFonts w:ascii="Arial" w:hAnsi="Arial" w:cs="Arial"/>
              </w:rPr>
              <w:t>PUC</w:t>
            </w:r>
            <w:r w:rsidR="002C200A">
              <w:rPr>
                <w:rFonts w:ascii="Arial" w:hAnsi="Arial" w:cs="Arial"/>
              </w:rPr>
              <w:t>)</w:t>
            </w:r>
            <w:r>
              <w:rPr>
                <w:rFonts w:ascii="Arial" w:hAnsi="Arial" w:cs="Arial"/>
              </w:rPr>
              <w:t xml:space="preserve"> issued an</w:t>
            </w:r>
            <w:r w:rsidRPr="00931823">
              <w:rPr>
                <w:rFonts w:ascii="Arial" w:hAnsi="Arial" w:cs="Arial"/>
              </w:rPr>
              <w:t xml:space="preserve"> Order in </w:t>
            </w:r>
            <w:r>
              <w:rPr>
                <w:rFonts w:ascii="Arial" w:hAnsi="Arial" w:cs="Arial"/>
              </w:rPr>
              <w:t>P</w:t>
            </w:r>
            <w:r w:rsidRPr="00931823">
              <w:rPr>
                <w:rFonts w:ascii="Arial" w:hAnsi="Arial" w:cs="Arial"/>
              </w:rPr>
              <w:t xml:space="preserve">roject </w:t>
            </w:r>
            <w:r>
              <w:rPr>
                <w:rFonts w:ascii="Arial" w:hAnsi="Arial" w:cs="Arial"/>
              </w:rPr>
              <w:t xml:space="preserve">No. 46304 </w:t>
            </w:r>
            <w:r w:rsidRPr="00931823">
              <w:rPr>
                <w:rFonts w:ascii="Arial" w:hAnsi="Arial" w:cs="Arial"/>
              </w:rPr>
              <w:t xml:space="preserve">that directed ERCOT to complete </w:t>
            </w:r>
            <w:r w:rsidR="008105A1">
              <w:rPr>
                <w:rFonts w:ascii="Arial" w:hAnsi="Arial" w:cs="Arial"/>
              </w:rPr>
              <w:t xml:space="preserve">certain </w:t>
            </w:r>
            <w:r w:rsidRPr="00931823">
              <w:rPr>
                <w:rFonts w:ascii="Arial" w:hAnsi="Arial" w:cs="Arial"/>
              </w:rPr>
              <w:t>tasks—set forth in 14 different Directives—that the PUC deemed were necessary to accommodate the SC</w:t>
            </w:r>
            <w:r w:rsidR="008105A1">
              <w:rPr>
                <w:rFonts w:ascii="Arial" w:hAnsi="Arial" w:cs="Arial"/>
              </w:rPr>
              <w:t xml:space="preserve">T DC </w:t>
            </w:r>
            <w:r w:rsidR="00E6299A">
              <w:rPr>
                <w:rFonts w:ascii="Arial" w:hAnsi="Arial" w:cs="Arial"/>
              </w:rPr>
              <w:t>T</w:t>
            </w:r>
            <w:r w:rsidRPr="00931823">
              <w:rPr>
                <w:rFonts w:ascii="Arial" w:hAnsi="Arial" w:cs="Arial"/>
              </w:rPr>
              <w:t>ie</w:t>
            </w:r>
            <w:r>
              <w:rPr>
                <w:rFonts w:ascii="Arial" w:hAnsi="Arial" w:cs="Arial"/>
              </w:rPr>
              <w:t xml:space="preserve">. </w:t>
            </w:r>
            <w:r w:rsidR="005F4F00">
              <w:rPr>
                <w:rFonts w:ascii="Arial" w:hAnsi="Arial" w:cs="Arial"/>
              </w:rPr>
              <w:t xml:space="preserve">This determination relates to Directive </w:t>
            </w:r>
            <w:r w:rsidR="002E38CE">
              <w:rPr>
                <w:rFonts w:ascii="Arial" w:hAnsi="Arial" w:cs="Arial"/>
              </w:rPr>
              <w:t>10</w:t>
            </w:r>
            <w:r w:rsidR="005F4F00">
              <w:rPr>
                <w:rFonts w:ascii="Arial" w:hAnsi="Arial" w:cs="Arial"/>
              </w:rPr>
              <w:t xml:space="preserve">, which </w:t>
            </w:r>
            <w:r w:rsidR="005F4F00" w:rsidRPr="00103B95">
              <w:rPr>
                <w:rFonts w:ascii="Arial" w:hAnsi="Arial" w:cs="Arial"/>
              </w:rPr>
              <w:t>requires that ERCOT:</w:t>
            </w:r>
          </w:p>
          <w:p w:rsidR="005F4F00" w:rsidRDefault="005F4F00" w:rsidP="005F4F00">
            <w:pPr>
              <w:jc w:val="both"/>
              <w:rPr>
                <w:rFonts w:ascii="Arial" w:hAnsi="Arial" w:cs="Arial"/>
              </w:rPr>
            </w:pPr>
            <w:r w:rsidRPr="00103B95">
              <w:rPr>
                <w:rFonts w:ascii="Arial" w:hAnsi="Arial" w:cs="Arial"/>
              </w:rPr>
              <w:t xml:space="preserve"> </w:t>
            </w:r>
          </w:p>
          <w:p w:rsidR="005F4F00" w:rsidRPr="002E38CE" w:rsidRDefault="002E38CE" w:rsidP="005F4F00">
            <w:pPr>
              <w:ind w:left="720" w:right="792"/>
              <w:jc w:val="both"/>
              <w:rPr>
                <w:rFonts w:ascii="Arial" w:hAnsi="Arial" w:cs="Arial"/>
                <w:color w:val="000000" w:themeColor="text1"/>
              </w:rPr>
            </w:pPr>
            <w:r w:rsidRPr="002E38CE">
              <w:rPr>
                <w:rFonts w:ascii="Arial" w:hAnsi="Arial" w:cs="Arial"/>
                <w:color w:val="000000" w:themeColor="text1"/>
                <w:shd w:val="clear" w:color="auto" w:fill="FFFFFF"/>
              </w:rPr>
              <w:t>“…shall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w:t>
            </w:r>
            <w:r w:rsidR="005F4F00" w:rsidRPr="002E38CE">
              <w:rPr>
                <w:rFonts w:ascii="Arial" w:hAnsi="Arial" w:cs="Arial"/>
                <w:color w:val="000000" w:themeColor="text1"/>
              </w:rPr>
              <w:t>”</w:t>
            </w:r>
          </w:p>
          <w:p w:rsidR="005F4F00" w:rsidRDefault="005F4F00" w:rsidP="0034542C">
            <w:pPr>
              <w:jc w:val="both"/>
              <w:rPr>
                <w:rFonts w:ascii="Arial" w:hAnsi="Arial" w:cs="Arial"/>
                <w:bCs/>
              </w:rPr>
            </w:pPr>
          </w:p>
          <w:p w:rsidR="005F4F00" w:rsidRDefault="005F4F00" w:rsidP="0034542C">
            <w:pPr>
              <w:jc w:val="both"/>
              <w:rPr>
                <w:rFonts w:ascii="Arial" w:hAnsi="Arial" w:cs="Arial"/>
              </w:rPr>
            </w:pPr>
            <w:r w:rsidRPr="00372F06">
              <w:rPr>
                <w:rFonts w:ascii="Arial" w:hAnsi="Arial" w:cs="Arial"/>
              </w:rPr>
              <w:t>Discussions with stakeholders occurred at the following meetings</w:t>
            </w:r>
            <w:r>
              <w:rPr>
                <w:rFonts w:ascii="Arial" w:hAnsi="Arial" w:cs="Arial"/>
              </w:rPr>
              <w:t xml:space="preserve"> regarding Directive </w:t>
            </w:r>
            <w:r w:rsidR="00D45CF3">
              <w:rPr>
                <w:rFonts w:ascii="Arial" w:hAnsi="Arial" w:cs="Arial"/>
              </w:rPr>
              <w:t>10</w:t>
            </w:r>
            <w:r w:rsidRPr="00372F06">
              <w:rPr>
                <w:rFonts w:ascii="Arial" w:hAnsi="Arial" w:cs="Arial"/>
              </w:rPr>
              <w:t xml:space="preserve">: </w:t>
            </w:r>
            <w:r w:rsidR="00D45CF3">
              <w:rPr>
                <w:rFonts w:ascii="Arial" w:hAnsi="Arial" w:cs="Arial"/>
              </w:rPr>
              <w:t>Qualified Scheduling Entity Managers Working Group (QMWG) 02/13/2018, 03/19/2018, 05/19/2018, 07/09/2018</w:t>
            </w:r>
            <w:r>
              <w:rPr>
                <w:rFonts w:ascii="Arial" w:hAnsi="Arial" w:cs="Arial"/>
              </w:rPr>
              <w:t>;</w:t>
            </w:r>
            <w:r w:rsidRPr="00372F06">
              <w:rPr>
                <w:rFonts w:ascii="Arial" w:hAnsi="Arial" w:cs="Arial"/>
              </w:rPr>
              <w:t xml:space="preserve"> </w:t>
            </w:r>
            <w:r w:rsidR="00D45CF3">
              <w:rPr>
                <w:rFonts w:ascii="Arial" w:hAnsi="Arial" w:cs="Arial"/>
              </w:rPr>
              <w:t>Wholesale Market Subcommittee (WMS) 08/08/2018, 09/05/2018</w:t>
            </w:r>
            <w:bookmarkStart w:id="0" w:name="_GoBack"/>
            <w:bookmarkEnd w:id="0"/>
            <w:r w:rsidR="00D45CF3">
              <w:rPr>
                <w:rFonts w:ascii="Arial" w:hAnsi="Arial" w:cs="Arial"/>
              </w:rPr>
              <w:t xml:space="preserve">. </w:t>
            </w:r>
            <w:r>
              <w:rPr>
                <w:rFonts w:ascii="Arial" w:hAnsi="Arial" w:cs="Arial"/>
              </w:rPr>
              <w:t>ERCOT staff prepared a whitepaper setting forth its determination and considerations relevant to that resolution, which was presented for discussion at these meetings (</w:t>
            </w:r>
            <w:hyperlink r:id="rId8" w:history="1">
              <w:r w:rsidRPr="00307994">
                <w:rPr>
                  <w:rStyle w:val="Hyperlink"/>
                  <w:rFonts w:ascii="Arial" w:eastAsiaTheme="majorEastAsia" w:hAnsi="Arial" w:cs="Arial"/>
                </w:rPr>
                <w:t>link to whitepaper</w:t>
              </w:r>
            </w:hyperlink>
            <w:r>
              <w:rPr>
                <w:rFonts w:ascii="Arial" w:hAnsi="Arial" w:cs="Arial"/>
              </w:rPr>
              <w:t>).</w:t>
            </w:r>
          </w:p>
          <w:p w:rsidR="005F4F00" w:rsidRDefault="005F4F00" w:rsidP="0034542C">
            <w:pPr>
              <w:jc w:val="both"/>
              <w:rPr>
                <w:rFonts w:ascii="Arial" w:hAnsi="Arial" w:cs="Arial"/>
              </w:rPr>
            </w:pPr>
          </w:p>
          <w:p w:rsidR="00A028F5" w:rsidRPr="00A028F5" w:rsidRDefault="005F4F00" w:rsidP="00E6299A">
            <w:pPr>
              <w:jc w:val="both"/>
              <w:rPr>
                <w:rFonts w:ascii="Arial" w:hAnsi="Arial" w:cs="Arial"/>
              </w:rPr>
            </w:pPr>
            <w:r w:rsidRPr="00A028F5">
              <w:rPr>
                <w:rFonts w:ascii="Arial" w:hAnsi="Arial" w:cs="Arial"/>
              </w:rPr>
              <w:t xml:space="preserve">ERCOT staff, after consultation with stakeholders, </w:t>
            </w:r>
            <w:r w:rsidR="008D63FD" w:rsidRPr="00A028F5">
              <w:rPr>
                <w:rFonts w:ascii="Arial" w:hAnsi="Arial" w:cs="Arial"/>
              </w:rPr>
              <w:t xml:space="preserve">has determined that there are potential actions related to Direct Current (DC) Ties that may adversely affect price formation </w:t>
            </w:r>
            <w:r w:rsidR="00A028F5" w:rsidRPr="00A028F5">
              <w:rPr>
                <w:rFonts w:ascii="Arial" w:hAnsi="Arial" w:cs="Arial"/>
              </w:rPr>
              <w:t xml:space="preserve">in the ERCOT wholesale market during </w:t>
            </w:r>
            <w:r w:rsidR="002C200A">
              <w:rPr>
                <w:rFonts w:ascii="Arial" w:hAnsi="Arial" w:cs="Arial"/>
              </w:rPr>
              <w:t xml:space="preserve">both </w:t>
            </w:r>
            <w:r w:rsidR="00A028F5" w:rsidRPr="00A028F5">
              <w:rPr>
                <w:rFonts w:ascii="Arial" w:hAnsi="Arial" w:cs="Arial"/>
              </w:rPr>
              <w:t xml:space="preserve">Emergency Conditions and non-Emergency Conditions in ERCOT or in neighboring systems.  </w:t>
            </w:r>
          </w:p>
          <w:p w:rsidR="00A028F5" w:rsidRDefault="00A028F5" w:rsidP="00E6299A">
            <w:pPr>
              <w:jc w:val="both"/>
            </w:pPr>
          </w:p>
          <w:p w:rsidR="003B03FC" w:rsidRDefault="008D63FD" w:rsidP="00E6299A">
            <w:pPr>
              <w:jc w:val="both"/>
              <w:rPr>
                <w:rFonts w:ascii="Arial" w:hAnsi="Arial" w:cs="Arial"/>
              </w:rPr>
            </w:pPr>
            <w:r>
              <w:rPr>
                <w:rFonts w:ascii="Arial" w:hAnsi="Arial" w:cs="Arial"/>
              </w:rPr>
              <w:t xml:space="preserve">These issues were previously considered as part of the </w:t>
            </w:r>
            <w:r w:rsidR="002C200A">
              <w:rPr>
                <w:rFonts w:ascii="Arial" w:hAnsi="Arial" w:cs="Arial"/>
              </w:rPr>
              <w:t xml:space="preserve">stakeholder discussions of </w:t>
            </w:r>
            <w:r>
              <w:rPr>
                <w:rFonts w:ascii="Arial" w:hAnsi="Arial" w:cs="Arial"/>
              </w:rPr>
              <w:t>NPRR626</w:t>
            </w:r>
            <w:r w:rsidR="00C27EAE">
              <w:rPr>
                <w:rFonts w:ascii="Arial" w:hAnsi="Arial" w:cs="Arial"/>
              </w:rPr>
              <w:t xml:space="preserve">, </w:t>
            </w:r>
            <w:r w:rsidR="00C27EAE" w:rsidRPr="000847CF">
              <w:rPr>
                <w:rFonts w:ascii="Arial" w:hAnsi="Arial" w:cs="Arial"/>
              </w:rPr>
              <w:t>Reliability Deployment Price Adder (formerly "ORDC Price Reversal Mitigation Enhancements")</w:t>
            </w:r>
            <w:r w:rsidR="00C27EAE">
              <w:rPr>
                <w:rFonts w:ascii="Arial" w:hAnsi="Arial" w:cs="Arial"/>
              </w:rPr>
              <w:t>,</w:t>
            </w:r>
            <w:r>
              <w:rPr>
                <w:rFonts w:ascii="Arial" w:hAnsi="Arial" w:cs="Arial"/>
              </w:rPr>
              <w:t xml:space="preserve"> and NPRR768</w:t>
            </w:r>
            <w:r w:rsidR="00C27EAE">
              <w:rPr>
                <w:rFonts w:ascii="Arial" w:hAnsi="Arial" w:cs="Arial"/>
              </w:rPr>
              <w:t xml:space="preserve">, </w:t>
            </w:r>
            <w:r w:rsidR="00C27EAE" w:rsidRPr="000847CF">
              <w:rPr>
                <w:rFonts w:ascii="Arial" w:hAnsi="Arial" w:cs="Arial"/>
              </w:rPr>
              <w:t>Revisions to Real-Time On-Line Reliability Deployment Price Adder Categories</w:t>
            </w:r>
            <w:r w:rsidR="00C27EAE">
              <w:rPr>
                <w:rFonts w:ascii="Arial" w:hAnsi="Arial" w:cs="Arial"/>
              </w:rPr>
              <w:t>,</w:t>
            </w:r>
            <w:r>
              <w:rPr>
                <w:rFonts w:ascii="Arial" w:hAnsi="Arial" w:cs="Arial"/>
              </w:rPr>
              <w:t xml:space="preserve"> which occurred </w:t>
            </w:r>
            <w:r w:rsidR="002C200A">
              <w:rPr>
                <w:rFonts w:ascii="Arial" w:hAnsi="Arial" w:cs="Arial"/>
              </w:rPr>
              <w:t>after</w:t>
            </w:r>
            <w:r w:rsidR="002C200A" w:rsidRPr="001512E5">
              <w:rPr>
                <w:rFonts w:ascii="Arial" w:hAnsi="Arial" w:cs="Arial"/>
              </w:rPr>
              <w:t xml:space="preserve"> </w:t>
            </w:r>
            <w:r w:rsidR="002D34F5" w:rsidRPr="001512E5">
              <w:rPr>
                <w:rFonts w:ascii="Arial" w:hAnsi="Arial" w:cs="Arial"/>
              </w:rPr>
              <w:t>the issuance of the PUC</w:t>
            </w:r>
            <w:r w:rsidR="002C200A">
              <w:rPr>
                <w:rFonts w:ascii="Arial" w:hAnsi="Arial" w:cs="Arial"/>
              </w:rPr>
              <w:t>’s</w:t>
            </w:r>
            <w:r w:rsidR="002D34F5" w:rsidRPr="001512E5">
              <w:rPr>
                <w:rFonts w:ascii="Arial" w:hAnsi="Arial" w:cs="Arial"/>
              </w:rPr>
              <w:t xml:space="preserve"> </w:t>
            </w:r>
            <w:r w:rsidR="002C200A">
              <w:rPr>
                <w:rFonts w:ascii="Arial" w:hAnsi="Arial" w:cs="Arial"/>
              </w:rPr>
              <w:t>o</w:t>
            </w:r>
            <w:r w:rsidR="002D34F5" w:rsidRPr="001512E5">
              <w:rPr>
                <w:rFonts w:ascii="Arial" w:hAnsi="Arial" w:cs="Arial"/>
              </w:rPr>
              <w:t xml:space="preserve">rder </w:t>
            </w:r>
            <w:r>
              <w:rPr>
                <w:rFonts w:ascii="Arial" w:hAnsi="Arial" w:cs="Arial"/>
              </w:rPr>
              <w:t>in Docket No. 45624</w:t>
            </w:r>
            <w:r w:rsidR="002C200A">
              <w:rPr>
                <w:rFonts w:ascii="Arial" w:hAnsi="Arial" w:cs="Arial"/>
              </w:rPr>
              <w:t>,</w:t>
            </w:r>
            <w:r>
              <w:rPr>
                <w:rFonts w:ascii="Arial" w:hAnsi="Arial" w:cs="Arial"/>
              </w:rPr>
              <w:t xml:space="preserve"> approving the Certificate of Convenience and Necessity (CCN) for Southern Cross DC Tie</w:t>
            </w:r>
            <w:r w:rsidR="002C200A">
              <w:rPr>
                <w:rFonts w:ascii="Arial" w:hAnsi="Arial" w:cs="Arial"/>
              </w:rPr>
              <w:t>,</w:t>
            </w:r>
            <w:r>
              <w:rPr>
                <w:rFonts w:ascii="Arial" w:hAnsi="Arial" w:cs="Arial"/>
              </w:rPr>
              <w:t xml:space="preserve"> and </w:t>
            </w:r>
            <w:r w:rsidR="002C200A">
              <w:rPr>
                <w:rFonts w:ascii="Arial" w:hAnsi="Arial" w:cs="Arial"/>
              </w:rPr>
              <w:t xml:space="preserve">its order </w:t>
            </w:r>
            <w:r w:rsidR="002D34F5" w:rsidRPr="001512E5">
              <w:rPr>
                <w:rFonts w:ascii="Arial" w:hAnsi="Arial" w:cs="Arial"/>
              </w:rPr>
              <w:t>in Project No. 46304</w:t>
            </w:r>
            <w:r w:rsidR="002C200A">
              <w:rPr>
                <w:rFonts w:ascii="Arial" w:hAnsi="Arial" w:cs="Arial"/>
              </w:rPr>
              <w:t>,</w:t>
            </w:r>
            <w:r w:rsidR="003B03FC">
              <w:rPr>
                <w:rFonts w:ascii="Arial" w:hAnsi="Arial" w:cs="Arial"/>
              </w:rPr>
              <w:t xml:space="preserve"> requiring ERCOT to complete certain tasks deemed necessary to accommodate the DC Tie including this Directive regarding price formation issues.</w:t>
            </w:r>
            <w:r w:rsidR="00A028F5">
              <w:rPr>
                <w:rFonts w:ascii="Arial" w:hAnsi="Arial" w:cs="Arial"/>
              </w:rPr>
              <w:t xml:space="preserve">  </w:t>
            </w:r>
            <w:r w:rsidR="002C200A">
              <w:rPr>
                <w:rFonts w:ascii="Arial" w:hAnsi="Arial" w:cs="Arial"/>
              </w:rPr>
              <w:t>Both NPRRs were eventually approved by the ERCOT Board of Directors.</w:t>
            </w:r>
          </w:p>
          <w:p w:rsidR="003B03FC" w:rsidRDefault="003B03FC" w:rsidP="00E6299A">
            <w:pPr>
              <w:jc w:val="both"/>
              <w:rPr>
                <w:rFonts w:ascii="Arial" w:hAnsi="Arial" w:cs="Arial"/>
              </w:rPr>
            </w:pPr>
          </w:p>
          <w:p w:rsidR="00A028F5" w:rsidRPr="00A028F5" w:rsidRDefault="00A028F5" w:rsidP="00A028F5">
            <w:pPr>
              <w:jc w:val="both"/>
              <w:rPr>
                <w:rFonts w:ascii="Arial" w:hAnsi="Arial" w:cs="Arial"/>
              </w:rPr>
            </w:pPr>
            <w:r w:rsidRPr="00A028F5">
              <w:rPr>
                <w:rFonts w:ascii="Arial" w:hAnsi="Arial" w:cs="Arial"/>
              </w:rPr>
              <w:t>At this time, ERCOT has not determined a need to submit an NPRR that would modify the policy determination previously achieved</w:t>
            </w:r>
            <w:r w:rsidR="002C200A">
              <w:rPr>
                <w:rFonts w:ascii="Arial" w:hAnsi="Arial" w:cs="Arial"/>
              </w:rPr>
              <w:t xml:space="preserve"> </w:t>
            </w:r>
            <w:r w:rsidR="00C27EAE">
              <w:rPr>
                <w:rFonts w:ascii="Arial" w:hAnsi="Arial" w:cs="Arial"/>
              </w:rPr>
              <w:t>by</w:t>
            </w:r>
            <w:r w:rsidR="002C200A">
              <w:rPr>
                <w:rFonts w:ascii="Arial" w:hAnsi="Arial" w:cs="Arial"/>
              </w:rPr>
              <w:t xml:space="preserve"> NPRR626 and NPRR768</w:t>
            </w:r>
            <w:r w:rsidR="00BB0EE5">
              <w:rPr>
                <w:rFonts w:ascii="Arial" w:hAnsi="Arial" w:cs="Arial"/>
              </w:rPr>
              <w:t>.</w:t>
            </w:r>
            <w:r w:rsidRPr="00A028F5">
              <w:rPr>
                <w:rFonts w:ascii="Arial" w:hAnsi="Arial" w:cs="Arial"/>
              </w:rPr>
              <w:t xml:space="preserve">  However, ERCOT is prepared to participate in future stakeholder discussions upon submission of a NPRR or upon direction from the Commission.</w:t>
            </w:r>
          </w:p>
          <w:p w:rsidR="008D63FD" w:rsidRDefault="008D63FD" w:rsidP="00E6299A">
            <w:pPr>
              <w:jc w:val="both"/>
              <w:rPr>
                <w:rFonts w:ascii="Arial" w:hAnsi="Arial" w:cs="Arial"/>
              </w:rPr>
            </w:pPr>
            <w:r w:rsidRPr="005C42B4">
              <w:lastRenderedPageBreak/>
              <w:t xml:space="preserve">  </w:t>
            </w:r>
          </w:p>
          <w:p w:rsidR="00A17780" w:rsidRPr="00A17780" w:rsidRDefault="00A028F5" w:rsidP="00405E52">
            <w:pPr>
              <w:jc w:val="both"/>
              <w:rPr>
                <w:rFonts w:ascii="Arial" w:hAnsi="Arial" w:cs="Arial"/>
                <w:bCs/>
              </w:rPr>
            </w:pPr>
            <w:r>
              <w:rPr>
                <w:rFonts w:ascii="Arial" w:hAnsi="Arial" w:cs="Arial"/>
                <w:u w:val="single"/>
              </w:rPr>
              <w:t>QMWG</w:t>
            </w:r>
            <w:r w:rsidR="00A17780" w:rsidRPr="00A17780">
              <w:rPr>
                <w:rFonts w:ascii="Arial" w:hAnsi="Arial" w:cs="Arial"/>
                <w:u w:val="single"/>
              </w:rPr>
              <w:t xml:space="preserve"> action</w:t>
            </w:r>
            <w:r w:rsidR="00A17780" w:rsidRPr="00A17780">
              <w:rPr>
                <w:rFonts w:ascii="Arial" w:hAnsi="Arial" w:cs="Arial"/>
              </w:rPr>
              <w:t xml:space="preserve">: </w:t>
            </w:r>
            <w:r w:rsidR="00A17780" w:rsidRPr="00A17780">
              <w:rPr>
                <w:rFonts w:ascii="Arial" w:hAnsi="Arial" w:cs="Arial"/>
                <w:bCs/>
              </w:rPr>
              <w:t xml:space="preserve">On </w:t>
            </w:r>
            <w:r>
              <w:rPr>
                <w:rFonts w:ascii="Arial" w:hAnsi="Arial" w:cs="Arial"/>
                <w:bCs/>
              </w:rPr>
              <w:t xml:space="preserve">07/09/2018, QMWG </w:t>
            </w:r>
            <w:r w:rsidR="00A17780" w:rsidRPr="00A17780">
              <w:rPr>
                <w:rFonts w:ascii="Arial" w:hAnsi="Arial" w:cs="Arial"/>
                <w:bCs/>
              </w:rPr>
              <w:t xml:space="preserve">voted to endorse </w:t>
            </w:r>
            <w:r w:rsidR="002C200A">
              <w:rPr>
                <w:rFonts w:ascii="Arial" w:hAnsi="Arial" w:cs="Arial"/>
                <w:bCs/>
              </w:rPr>
              <w:t>ERCOT’s determination on</w:t>
            </w:r>
            <w:r w:rsidR="002C200A" w:rsidRPr="00A17780">
              <w:rPr>
                <w:rFonts w:ascii="Arial" w:hAnsi="Arial" w:cs="Arial"/>
                <w:bCs/>
              </w:rPr>
              <w:t xml:space="preserve"> </w:t>
            </w:r>
            <w:r w:rsidR="00A17780" w:rsidRPr="00A17780">
              <w:rPr>
                <w:rFonts w:ascii="Arial" w:hAnsi="Arial" w:cs="Arial"/>
                <w:bCs/>
              </w:rPr>
              <w:t xml:space="preserve">Directive </w:t>
            </w:r>
            <w:r>
              <w:rPr>
                <w:rFonts w:ascii="Arial" w:hAnsi="Arial" w:cs="Arial"/>
                <w:bCs/>
              </w:rPr>
              <w:t>10,</w:t>
            </w:r>
            <w:r w:rsidR="002C200A">
              <w:rPr>
                <w:rFonts w:ascii="Arial" w:hAnsi="Arial" w:cs="Arial"/>
                <w:bCs/>
              </w:rPr>
              <w:t xml:space="preserve"> as reflected in the ERCOT whitepaper</w:t>
            </w:r>
            <w:r w:rsidR="00A17780" w:rsidRPr="00A17780">
              <w:rPr>
                <w:rFonts w:ascii="Arial" w:hAnsi="Arial" w:cs="Arial"/>
                <w:bCs/>
              </w:rPr>
              <w:t xml:space="preserve">.  </w:t>
            </w:r>
          </w:p>
          <w:p w:rsidR="001B55F4" w:rsidRDefault="001B55F4" w:rsidP="00405E52">
            <w:pPr>
              <w:jc w:val="both"/>
              <w:rPr>
                <w:rFonts w:ascii="Arial" w:hAnsi="Arial" w:cs="Arial"/>
                <w:bCs/>
              </w:rPr>
            </w:pPr>
            <w:r>
              <w:rPr>
                <w:rFonts w:ascii="Arial" w:hAnsi="Arial" w:cs="Arial"/>
                <w:u w:val="single"/>
              </w:rPr>
              <w:t>WMS</w:t>
            </w:r>
            <w:r w:rsidR="00A17780" w:rsidRPr="00A17780">
              <w:rPr>
                <w:rFonts w:ascii="Arial" w:hAnsi="Arial" w:cs="Arial"/>
                <w:u w:val="single"/>
              </w:rPr>
              <w:t xml:space="preserve"> action</w:t>
            </w:r>
            <w:r w:rsidR="00A17780" w:rsidRPr="00A17780">
              <w:rPr>
                <w:rFonts w:ascii="Arial" w:hAnsi="Arial" w:cs="Arial"/>
              </w:rPr>
              <w:t xml:space="preserve">: </w:t>
            </w:r>
            <w:r w:rsidR="00A17780" w:rsidRPr="00A17780">
              <w:rPr>
                <w:rFonts w:ascii="Arial" w:hAnsi="Arial" w:cs="Arial"/>
                <w:bCs/>
              </w:rPr>
              <w:t xml:space="preserve">On </w:t>
            </w:r>
            <w:r>
              <w:rPr>
                <w:rFonts w:ascii="Arial" w:hAnsi="Arial" w:cs="Arial"/>
                <w:bCs/>
              </w:rPr>
              <w:t>09</w:t>
            </w:r>
            <w:r w:rsidR="00A17780" w:rsidRPr="00A17780">
              <w:rPr>
                <w:rFonts w:ascii="Arial" w:hAnsi="Arial" w:cs="Arial"/>
                <w:bCs/>
              </w:rPr>
              <w:t>/</w:t>
            </w:r>
            <w:r w:rsidR="00E6299A">
              <w:rPr>
                <w:rFonts w:ascii="Arial" w:hAnsi="Arial" w:cs="Arial"/>
                <w:bCs/>
              </w:rPr>
              <w:t>0</w:t>
            </w:r>
            <w:r w:rsidR="00A17780" w:rsidRPr="00A17780">
              <w:rPr>
                <w:rFonts w:ascii="Arial" w:hAnsi="Arial" w:cs="Arial"/>
                <w:bCs/>
              </w:rPr>
              <w:t>5/</w:t>
            </w:r>
            <w:r w:rsidR="00E6299A">
              <w:rPr>
                <w:rFonts w:ascii="Arial" w:hAnsi="Arial" w:cs="Arial"/>
                <w:bCs/>
              </w:rPr>
              <w:t>20</w:t>
            </w:r>
            <w:r>
              <w:rPr>
                <w:rFonts w:ascii="Arial" w:hAnsi="Arial" w:cs="Arial"/>
                <w:bCs/>
              </w:rPr>
              <w:t>18, WM</w:t>
            </w:r>
            <w:r w:rsidR="00A17780" w:rsidRPr="00A17780">
              <w:rPr>
                <w:rFonts w:ascii="Arial" w:hAnsi="Arial" w:cs="Arial"/>
                <w:bCs/>
              </w:rPr>
              <w:t xml:space="preserve">S voted to endorse </w:t>
            </w:r>
            <w:r w:rsidR="002C200A">
              <w:rPr>
                <w:rFonts w:ascii="Arial" w:hAnsi="Arial" w:cs="Arial"/>
                <w:bCs/>
              </w:rPr>
              <w:t xml:space="preserve">ERCOT’s determination on </w:t>
            </w:r>
            <w:r w:rsidRPr="00A17780">
              <w:rPr>
                <w:rFonts w:ascii="Arial" w:hAnsi="Arial" w:cs="Arial"/>
                <w:bCs/>
              </w:rPr>
              <w:t xml:space="preserve">Directive </w:t>
            </w:r>
            <w:r>
              <w:rPr>
                <w:rFonts w:ascii="Arial" w:hAnsi="Arial" w:cs="Arial"/>
                <w:bCs/>
              </w:rPr>
              <w:t>10,</w:t>
            </w:r>
            <w:r w:rsidR="002C200A">
              <w:rPr>
                <w:rFonts w:ascii="Arial" w:hAnsi="Arial" w:cs="Arial"/>
                <w:bCs/>
              </w:rPr>
              <w:t xml:space="preserve"> as reflected in the ERCOT whitepaper</w:t>
            </w:r>
            <w:r w:rsidRPr="00A17780">
              <w:rPr>
                <w:rFonts w:ascii="Arial" w:hAnsi="Arial" w:cs="Arial"/>
                <w:bCs/>
              </w:rPr>
              <w:t>.</w:t>
            </w:r>
          </w:p>
          <w:p w:rsidR="00DB64CD" w:rsidRPr="00A17780" w:rsidRDefault="00CE65FA" w:rsidP="00E93B3B">
            <w:pPr>
              <w:jc w:val="both"/>
              <w:rPr>
                <w:rFonts w:ascii="Arial" w:hAnsi="Arial" w:cs="Arial"/>
              </w:rPr>
            </w:pPr>
            <w:r>
              <w:rPr>
                <w:rFonts w:ascii="Arial" w:hAnsi="Arial" w:cs="Arial"/>
                <w:u w:val="single"/>
              </w:rPr>
              <w:t>TAC</w:t>
            </w:r>
            <w:r w:rsidRPr="00A17780">
              <w:rPr>
                <w:rFonts w:ascii="Arial" w:hAnsi="Arial" w:cs="Arial"/>
                <w:u w:val="single"/>
              </w:rPr>
              <w:t xml:space="preserve"> action</w:t>
            </w:r>
            <w:r w:rsidRPr="00A17780">
              <w:rPr>
                <w:rFonts w:ascii="Arial" w:hAnsi="Arial" w:cs="Arial"/>
              </w:rPr>
              <w:t xml:space="preserve">: </w:t>
            </w:r>
            <w:r w:rsidRPr="00A17780">
              <w:rPr>
                <w:rFonts w:ascii="Arial" w:hAnsi="Arial" w:cs="Arial"/>
                <w:bCs/>
              </w:rPr>
              <w:t xml:space="preserve">On </w:t>
            </w:r>
            <w:r>
              <w:rPr>
                <w:rFonts w:ascii="Arial" w:hAnsi="Arial" w:cs="Arial"/>
                <w:bCs/>
              </w:rPr>
              <w:t>09</w:t>
            </w:r>
            <w:r w:rsidRPr="00A17780">
              <w:rPr>
                <w:rFonts w:ascii="Arial" w:hAnsi="Arial" w:cs="Arial"/>
                <w:bCs/>
              </w:rPr>
              <w:t>/</w:t>
            </w:r>
            <w:r>
              <w:rPr>
                <w:rFonts w:ascii="Arial" w:hAnsi="Arial" w:cs="Arial"/>
                <w:bCs/>
              </w:rPr>
              <w:t>26</w:t>
            </w:r>
            <w:r w:rsidRPr="00A17780">
              <w:rPr>
                <w:rFonts w:ascii="Arial" w:hAnsi="Arial" w:cs="Arial"/>
                <w:bCs/>
              </w:rPr>
              <w:t>/</w:t>
            </w:r>
            <w:r>
              <w:rPr>
                <w:rFonts w:ascii="Arial" w:hAnsi="Arial" w:cs="Arial"/>
                <w:bCs/>
              </w:rPr>
              <w:t>2018, TAC</w:t>
            </w:r>
            <w:r w:rsidR="00E93B3B">
              <w:rPr>
                <w:rFonts w:ascii="Arial" w:hAnsi="Arial" w:cs="Arial"/>
                <w:bCs/>
              </w:rPr>
              <w:t xml:space="preserve"> </w:t>
            </w:r>
            <w:r w:rsidRPr="00A17780">
              <w:rPr>
                <w:rFonts w:ascii="Arial" w:hAnsi="Arial" w:cs="Arial"/>
                <w:bCs/>
              </w:rPr>
              <w:t xml:space="preserve">voted to endorse </w:t>
            </w:r>
            <w:r>
              <w:rPr>
                <w:rFonts w:ascii="Arial" w:hAnsi="Arial" w:cs="Arial"/>
                <w:bCs/>
              </w:rPr>
              <w:t xml:space="preserve">ERCOT’s determination on </w:t>
            </w:r>
            <w:r w:rsidRPr="00A17780">
              <w:rPr>
                <w:rFonts w:ascii="Arial" w:hAnsi="Arial" w:cs="Arial"/>
                <w:bCs/>
              </w:rPr>
              <w:t xml:space="preserve">Directive </w:t>
            </w:r>
            <w:r>
              <w:rPr>
                <w:rFonts w:ascii="Arial" w:hAnsi="Arial" w:cs="Arial"/>
                <w:bCs/>
              </w:rPr>
              <w:t>10, as reflected in this document.</w:t>
            </w:r>
            <w:r w:rsidR="00E93B3B">
              <w:rPr>
                <w:rFonts w:ascii="Arial" w:hAnsi="Arial" w:cs="Arial"/>
                <w:bCs/>
              </w:rPr>
              <w:t xml:space="preserve">  This document was revised by TAC and ERCOT prior to the vote to endorse.  </w:t>
            </w:r>
          </w:p>
        </w:tc>
      </w:tr>
    </w:tbl>
    <w:p w:rsidR="002B5725" w:rsidRDefault="002B5725" w:rsidP="00405E52">
      <w:pPr>
        <w:spacing w:after="160" w:line="259" w:lineRule="auto"/>
      </w:pPr>
    </w:p>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Default="002B5725" w:rsidP="002B5725"/>
    <w:p w:rsidR="00A91BBC" w:rsidRPr="002B5725" w:rsidRDefault="002B5725" w:rsidP="002B5725">
      <w:pPr>
        <w:tabs>
          <w:tab w:val="left" w:pos="2295"/>
        </w:tabs>
      </w:pPr>
      <w:r>
        <w:tab/>
      </w:r>
    </w:p>
    <w:sectPr w:rsidR="00A91BBC" w:rsidRPr="002B5725" w:rsidSect="00405E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D4A" w:rsidRDefault="001B1D4A" w:rsidP="00382AD5">
      <w:r>
        <w:separator/>
      </w:r>
    </w:p>
  </w:endnote>
  <w:endnote w:type="continuationSeparator" w:id="0">
    <w:p w:rsidR="001B1D4A" w:rsidRDefault="001B1D4A" w:rsidP="0038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E5" w:rsidRDefault="00BB0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D2" w:rsidRPr="00D824C4" w:rsidRDefault="000046D2" w:rsidP="00161D00">
    <w:pPr>
      <w:pStyle w:val="Footer"/>
      <w:rPr>
        <w:rFonts w:ascii="Arial" w:hAnsi="Arial" w:cs="Arial"/>
        <w:sz w:val="16"/>
      </w:rPr>
    </w:pPr>
    <w:r w:rsidRPr="00D824C4">
      <w:rPr>
        <w:rFonts w:ascii="Arial" w:hAnsi="Arial" w:cs="Arial"/>
        <w:sz w:val="18"/>
      </w:rPr>
      <w:t xml:space="preserve">PUC Order No. 46304, Directive </w:t>
    </w:r>
    <w:r w:rsidR="00BB0EE5">
      <w:rPr>
        <w:rFonts w:ascii="Arial" w:hAnsi="Arial" w:cs="Arial"/>
        <w:sz w:val="18"/>
      </w:rPr>
      <w:t>10</w:t>
    </w:r>
    <w:r w:rsidR="00C80A15">
      <w:rPr>
        <w:rFonts w:ascii="Arial" w:hAnsi="Arial" w:cs="Arial"/>
        <w:sz w:val="18"/>
      </w:rPr>
      <w:t xml:space="preserve"> TAC 0927</w:t>
    </w:r>
    <w:r w:rsidRPr="00D824C4">
      <w:rPr>
        <w:rFonts w:ascii="Arial" w:hAnsi="Arial" w:cs="Arial"/>
        <w:sz w:val="18"/>
      </w:rPr>
      <w:t>18</w:t>
    </w:r>
  </w:p>
  <w:p w:rsidR="000046D2" w:rsidRPr="00161D00" w:rsidRDefault="000046D2" w:rsidP="00161D00">
    <w:pPr>
      <w:pStyle w:val="Footer"/>
      <w:rPr>
        <w:rFonts w:ascii="Arial" w:hAnsi="Arial" w:cs="Arial"/>
      </w:rPr>
    </w:pPr>
    <w:r w:rsidRPr="004C25D6">
      <w:rPr>
        <w:rFonts w:ascii="Arial" w:hAnsi="Arial" w:cs="Arial"/>
      </w:rPr>
      <w:t>ERCOT Public</w:t>
    </w:r>
    <w:r w:rsidRPr="004C25D6">
      <w:rPr>
        <w:rFonts w:ascii="Arial" w:hAnsi="Arial" w:cs="Arial"/>
      </w:rPr>
      <w:tab/>
    </w:r>
    <w:r w:rsidRPr="004C25D6">
      <w:rPr>
        <w:rFonts w:ascii="Arial" w:hAnsi="Arial" w:cs="Arial"/>
      </w:rPr>
      <w:tab/>
    </w:r>
    <w:r w:rsidRPr="004C25D6">
      <w:rPr>
        <w:rFonts w:ascii="Arial" w:hAnsi="Arial" w:cs="Arial"/>
        <w:color w:val="7F7F7F" w:themeColor="background1" w:themeShade="7F"/>
        <w:spacing w:val="60"/>
      </w:rPr>
      <w:t>Page</w:t>
    </w:r>
    <w:r w:rsidRPr="004C25D6">
      <w:rPr>
        <w:rFonts w:ascii="Arial" w:hAnsi="Arial" w:cs="Arial"/>
      </w:rPr>
      <w:t xml:space="preserve"> | </w:t>
    </w:r>
    <w:r w:rsidRPr="004C25D6">
      <w:rPr>
        <w:rFonts w:ascii="Arial" w:hAnsi="Arial" w:cs="Arial"/>
      </w:rPr>
      <w:fldChar w:fldCharType="begin"/>
    </w:r>
    <w:r w:rsidRPr="004C25D6">
      <w:rPr>
        <w:rFonts w:ascii="Arial" w:hAnsi="Arial" w:cs="Arial"/>
      </w:rPr>
      <w:instrText xml:space="preserve"> PAGE   \* MERGEFORMAT </w:instrText>
    </w:r>
    <w:r w:rsidRPr="004C25D6">
      <w:rPr>
        <w:rFonts w:ascii="Arial" w:hAnsi="Arial" w:cs="Arial"/>
      </w:rPr>
      <w:fldChar w:fldCharType="separate"/>
    </w:r>
    <w:r w:rsidR="00E93B3B" w:rsidRPr="00E93B3B">
      <w:rPr>
        <w:rFonts w:ascii="Arial" w:hAnsi="Arial" w:cs="Arial"/>
        <w:b/>
        <w:bCs/>
        <w:noProof/>
      </w:rPr>
      <w:t>2</w:t>
    </w:r>
    <w:r w:rsidRPr="004C25D6">
      <w:rPr>
        <w:rFonts w:ascii="Arial" w:hAnsi="Arial" w:cs="Arial"/>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D2" w:rsidRPr="00D824C4" w:rsidRDefault="000046D2" w:rsidP="002B5725">
    <w:pPr>
      <w:pStyle w:val="Footer"/>
      <w:rPr>
        <w:rFonts w:ascii="Arial" w:hAnsi="Arial" w:cs="Arial"/>
        <w:sz w:val="16"/>
      </w:rPr>
    </w:pPr>
    <w:r w:rsidRPr="00D824C4">
      <w:rPr>
        <w:rFonts w:ascii="Arial" w:hAnsi="Arial" w:cs="Arial"/>
        <w:sz w:val="18"/>
      </w:rPr>
      <w:t xml:space="preserve">PUC Order No. 46304, Directive </w:t>
    </w:r>
    <w:r w:rsidR="00BB0EE5">
      <w:rPr>
        <w:rFonts w:ascii="Arial" w:hAnsi="Arial" w:cs="Arial"/>
        <w:sz w:val="18"/>
      </w:rPr>
      <w:t>10 TAC 09</w:t>
    </w:r>
    <w:r w:rsidR="00C80A15">
      <w:rPr>
        <w:rFonts w:ascii="Arial" w:hAnsi="Arial" w:cs="Arial"/>
        <w:sz w:val="18"/>
      </w:rPr>
      <w:t>27</w:t>
    </w:r>
    <w:r w:rsidRPr="00D824C4">
      <w:rPr>
        <w:rFonts w:ascii="Arial" w:hAnsi="Arial" w:cs="Arial"/>
        <w:sz w:val="18"/>
      </w:rPr>
      <w:t>18</w:t>
    </w:r>
  </w:p>
  <w:p w:rsidR="000046D2" w:rsidRPr="002B5725" w:rsidRDefault="000046D2">
    <w:pPr>
      <w:pStyle w:val="Footer"/>
      <w:rPr>
        <w:rFonts w:ascii="Arial" w:hAnsi="Arial" w:cs="Arial"/>
      </w:rPr>
    </w:pPr>
    <w:r w:rsidRPr="004C25D6">
      <w:rPr>
        <w:rFonts w:ascii="Arial" w:hAnsi="Arial" w:cs="Arial"/>
      </w:rPr>
      <w:t>ERCOT Public</w:t>
    </w:r>
    <w:r w:rsidRPr="004C25D6">
      <w:rPr>
        <w:rFonts w:ascii="Arial" w:hAnsi="Arial" w:cs="Arial"/>
      </w:rPr>
      <w:tab/>
    </w:r>
    <w:r w:rsidRPr="004C25D6">
      <w:rPr>
        <w:rFonts w:ascii="Arial" w:hAnsi="Arial" w:cs="Arial"/>
      </w:rPr>
      <w:tab/>
    </w:r>
    <w:r w:rsidRPr="004C25D6">
      <w:rPr>
        <w:rFonts w:ascii="Arial" w:hAnsi="Arial" w:cs="Arial"/>
        <w:color w:val="7F7F7F" w:themeColor="background1" w:themeShade="7F"/>
        <w:spacing w:val="60"/>
      </w:rPr>
      <w:t>Page</w:t>
    </w:r>
    <w:r w:rsidRPr="004C25D6">
      <w:rPr>
        <w:rFonts w:ascii="Arial" w:hAnsi="Arial" w:cs="Arial"/>
      </w:rPr>
      <w:t xml:space="preserve"> | </w:t>
    </w:r>
    <w:r w:rsidRPr="004C25D6">
      <w:rPr>
        <w:rFonts w:ascii="Arial" w:hAnsi="Arial" w:cs="Arial"/>
      </w:rPr>
      <w:fldChar w:fldCharType="begin"/>
    </w:r>
    <w:r w:rsidRPr="004C25D6">
      <w:rPr>
        <w:rFonts w:ascii="Arial" w:hAnsi="Arial" w:cs="Arial"/>
      </w:rPr>
      <w:instrText xml:space="preserve"> PAGE   \* MERGEFORMAT </w:instrText>
    </w:r>
    <w:r w:rsidRPr="004C25D6">
      <w:rPr>
        <w:rFonts w:ascii="Arial" w:hAnsi="Arial" w:cs="Arial"/>
      </w:rPr>
      <w:fldChar w:fldCharType="separate"/>
    </w:r>
    <w:r w:rsidR="00E93B3B" w:rsidRPr="00E93B3B">
      <w:rPr>
        <w:rFonts w:ascii="Arial" w:hAnsi="Arial" w:cs="Arial"/>
        <w:b/>
        <w:bCs/>
        <w:noProof/>
      </w:rPr>
      <w:t>1</w:t>
    </w:r>
    <w:r w:rsidRPr="004C25D6">
      <w:rPr>
        <w:rFonts w:ascii="Arial" w:hAnsi="Arial" w:cs="Arial"/>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D4A" w:rsidRDefault="001B1D4A" w:rsidP="00382AD5">
      <w:r>
        <w:separator/>
      </w:r>
    </w:p>
  </w:footnote>
  <w:footnote w:type="continuationSeparator" w:id="0">
    <w:p w:rsidR="001B1D4A" w:rsidRDefault="001B1D4A" w:rsidP="0038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E5" w:rsidRDefault="00BB0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D2" w:rsidRDefault="000046D2" w:rsidP="00405E5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D2" w:rsidRDefault="000046D2" w:rsidP="00622818">
    <w:pPr>
      <w:pStyle w:val="Header"/>
      <w:rPr>
        <w:rFonts w:ascii="Arial" w:hAnsi="Arial" w:cs="Arial"/>
        <w:b/>
        <w:sz w:val="28"/>
      </w:rPr>
    </w:pPr>
    <w:r>
      <w:rPr>
        <w:noProof/>
      </w:rPr>
      <w:drawing>
        <wp:inline distT="0" distB="0" distL="0" distR="0" wp14:anchorId="2AE2826D" wp14:editId="4EB263D1">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r>
      <w:rPr>
        <w:rFonts w:ascii="Arial" w:hAnsi="Arial" w:cs="Arial"/>
        <w:b/>
        <w:sz w:val="28"/>
      </w:rPr>
      <w:tab/>
    </w:r>
  </w:p>
  <w:p w:rsidR="000046D2" w:rsidRDefault="000046D2" w:rsidP="00622818">
    <w:pPr>
      <w:pStyle w:val="Header"/>
      <w:jc w:val="center"/>
      <w:rPr>
        <w:rFonts w:ascii="Arial" w:hAnsi="Arial" w:cs="Arial"/>
        <w:b/>
        <w:sz w:val="28"/>
      </w:rPr>
    </w:pPr>
    <w:r w:rsidRPr="00E15C6E">
      <w:rPr>
        <w:rFonts w:ascii="Arial" w:hAnsi="Arial" w:cs="Arial"/>
        <w:b/>
        <w:sz w:val="28"/>
      </w:rPr>
      <w:t xml:space="preserve">PUC </w:t>
    </w:r>
    <w:r>
      <w:rPr>
        <w:rFonts w:ascii="Arial" w:hAnsi="Arial" w:cs="Arial"/>
        <w:b/>
        <w:sz w:val="28"/>
      </w:rPr>
      <w:t>Project</w:t>
    </w:r>
    <w:r w:rsidRPr="00E15C6E">
      <w:rPr>
        <w:rFonts w:ascii="Arial" w:hAnsi="Arial" w:cs="Arial"/>
        <w:b/>
        <w:sz w:val="28"/>
      </w:rPr>
      <w:t xml:space="preserve"> No. 46304</w:t>
    </w:r>
  </w:p>
  <w:p w:rsidR="000046D2" w:rsidRDefault="000046D2" w:rsidP="00622818">
    <w:pPr>
      <w:pStyle w:val="Header"/>
      <w:jc w:val="center"/>
    </w:pPr>
    <w:r w:rsidRPr="00931823">
      <w:rPr>
        <w:rFonts w:ascii="Arial" w:hAnsi="Arial" w:cs="Arial"/>
        <w:b/>
        <w:sz w:val="28"/>
      </w:rPr>
      <w:t>Oversight Relating to the Sou</w:t>
    </w:r>
    <w:r>
      <w:rPr>
        <w:rFonts w:ascii="Arial" w:hAnsi="Arial" w:cs="Arial"/>
        <w:b/>
        <w:sz w:val="28"/>
      </w:rPr>
      <w:t>thern Cross Transmission DC Tie Determination Regarding Emergency Condition Price Formation</w:t>
    </w:r>
  </w:p>
  <w:p w:rsidR="000046D2" w:rsidRDefault="00004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7F52"/>
    <w:multiLevelType w:val="hybridMultilevel"/>
    <w:tmpl w:val="09D47B0E"/>
    <w:lvl w:ilvl="0" w:tplc="6B505ED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C0C68"/>
    <w:multiLevelType w:val="hybridMultilevel"/>
    <w:tmpl w:val="58DA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E2F04"/>
    <w:multiLevelType w:val="hybridMultilevel"/>
    <w:tmpl w:val="0562E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521EA"/>
    <w:multiLevelType w:val="hybridMultilevel"/>
    <w:tmpl w:val="861C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5050A"/>
    <w:multiLevelType w:val="hybridMultilevel"/>
    <w:tmpl w:val="053C28BC"/>
    <w:lvl w:ilvl="0" w:tplc="A32C5C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D5"/>
    <w:rsid w:val="000046D2"/>
    <w:rsid w:val="000231C5"/>
    <w:rsid w:val="000847CF"/>
    <w:rsid w:val="001022D4"/>
    <w:rsid w:val="001512E5"/>
    <w:rsid w:val="00161D00"/>
    <w:rsid w:val="00163C64"/>
    <w:rsid w:val="001A0F6E"/>
    <w:rsid w:val="001B1D4A"/>
    <w:rsid w:val="001B55F4"/>
    <w:rsid w:val="001F6485"/>
    <w:rsid w:val="002B5725"/>
    <w:rsid w:val="002C200A"/>
    <w:rsid w:val="002D34F5"/>
    <w:rsid w:val="002E38CE"/>
    <w:rsid w:val="00315777"/>
    <w:rsid w:val="00321CBA"/>
    <w:rsid w:val="0034542C"/>
    <w:rsid w:val="00382AD5"/>
    <w:rsid w:val="003B03FC"/>
    <w:rsid w:val="003D205D"/>
    <w:rsid w:val="003E1E31"/>
    <w:rsid w:val="003E3D62"/>
    <w:rsid w:val="00405E52"/>
    <w:rsid w:val="0041484C"/>
    <w:rsid w:val="0049221F"/>
    <w:rsid w:val="004B4C73"/>
    <w:rsid w:val="00531167"/>
    <w:rsid w:val="0055344F"/>
    <w:rsid w:val="0059478E"/>
    <w:rsid w:val="005D751C"/>
    <w:rsid w:val="005E7EEF"/>
    <w:rsid w:val="005F4F00"/>
    <w:rsid w:val="00603420"/>
    <w:rsid w:val="00603D42"/>
    <w:rsid w:val="00622818"/>
    <w:rsid w:val="006627D1"/>
    <w:rsid w:val="00774031"/>
    <w:rsid w:val="007825CA"/>
    <w:rsid w:val="008105A1"/>
    <w:rsid w:val="008B4AF4"/>
    <w:rsid w:val="008D315D"/>
    <w:rsid w:val="008D63FD"/>
    <w:rsid w:val="00922B44"/>
    <w:rsid w:val="00931823"/>
    <w:rsid w:val="00982A58"/>
    <w:rsid w:val="009F756E"/>
    <w:rsid w:val="00A028F5"/>
    <w:rsid w:val="00A17780"/>
    <w:rsid w:val="00A6746C"/>
    <w:rsid w:val="00A91BBC"/>
    <w:rsid w:val="00AB5723"/>
    <w:rsid w:val="00AF0AA2"/>
    <w:rsid w:val="00B4503B"/>
    <w:rsid w:val="00B77659"/>
    <w:rsid w:val="00BB0CD4"/>
    <w:rsid w:val="00BB0EE5"/>
    <w:rsid w:val="00C07FFE"/>
    <w:rsid w:val="00C116BE"/>
    <w:rsid w:val="00C26BA4"/>
    <w:rsid w:val="00C27EAE"/>
    <w:rsid w:val="00C73FFA"/>
    <w:rsid w:val="00C74067"/>
    <w:rsid w:val="00C742F8"/>
    <w:rsid w:val="00C80A15"/>
    <w:rsid w:val="00CE4ECA"/>
    <w:rsid w:val="00CE65FA"/>
    <w:rsid w:val="00D45CF3"/>
    <w:rsid w:val="00D52652"/>
    <w:rsid w:val="00D824C4"/>
    <w:rsid w:val="00D87B6C"/>
    <w:rsid w:val="00D9531E"/>
    <w:rsid w:val="00DB64CD"/>
    <w:rsid w:val="00DB69EA"/>
    <w:rsid w:val="00E15C6E"/>
    <w:rsid w:val="00E6299A"/>
    <w:rsid w:val="00E93B3B"/>
    <w:rsid w:val="00EF6F8D"/>
    <w:rsid w:val="00FA06D1"/>
    <w:rsid w:val="00FA11BC"/>
    <w:rsid w:val="00FA6508"/>
    <w:rsid w:val="00FD1879"/>
    <w:rsid w:val="00FD1FCE"/>
    <w:rsid w:val="00FE1A29"/>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82223-158C-471B-ACFF-B81D1935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D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82A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382AD5"/>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82AD5"/>
    <w:rPr>
      <w:rFonts w:ascii="Times New Roman" w:eastAsia="Times New Roman" w:hAnsi="Times New Roman" w:cs="Times New Roman"/>
      <w:sz w:val="24"/>
      <w:szCs w:val="24"/>
      <w:u w:val="single"/>
    </w:rPr>
  </w:style>
  <w:style w:type="character" w:styleId="Hyperlink">
    <w:name w:val="Hyperlink"/>
    <w:rsid w:val="00382AD5"/>
    <w:rPr>
      <w:color w:val="0000FF"/>
      <w:u w:val="single"/>
    </w:rPr>
  </w:style>
  <w:style w:type="paragraph" w:styleId="ListParagraph">
    <w:name w:val="List Paragraph"/>
    <w:basedOn w:val="Normal"/>
    <w:uiPriority w:val="34"/>
    <w:qFormat/>
    <w:rsid w:val="00382AD5"/>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82AD5"/>
    <w:pPr>
      <w:tabs>
        <w:tab w:val="center" w:pos="4680"/>
        <w:tab w:val="right" w:pos="9360"/>
      </w:tabs>
    </w:pPr>
  </w:style>
  <w:style w:type="character" w:customStyle="1" w:styleId="HeaderChar">
    <w:name w:val="Header Char"/>
    <w:basedOn w:val="DefaultParagraphFont"/>
    <w:link w:val="Header"/>
    <w:uiPriority w:val="99"/>
    <w:rsid w:val="00382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2AD5"/>
    <w:pPr>
      <w:tabs>
        <w:tab w:val="center" w:pos="4680"/>
        <w:tab w:val="right" w:pos="9360"/>
      </w:tabs>
    </w:pPr>
  </w:style>
  <w:style w:type="character" w:customStyle="1" w:styleId="FooterChar">
    <w:name w:val="Footer Char"/>
    <w:basedOn w:val="DefaultParagraphFont"/>
    <w:link w:val="Footer"/>
    <w:uiPriority w:val="99"/>
    <w:rsid w:val="00382AD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82AD5"/>
    <w:rPr>
      <w:rFonts w:asciiTheme="majorHAnsi" w:eastAsiaTheme="majorEastAsia" w:hAnsiTheme="majorHAnsi" w:cstheme="majorBidi"/>
      <w:color w:val="2E74B5" w:themeColor="accent1" w:themeShade="BF"/>
      <w:sz w:val="26"/>
      <w:szCs w:val="26"/>
    </w:rPr>
  </w:style>
  <w:style w:type="paragraph" w:customStyle="1" w:styleId="BulletIndent">
    <w:name w:val="Bullet Indent"/>
    <w:basedOn w:val="Normal"/>
    <w:rsid w:val="00382AD5"/>
    <w:rPr>
      <w:szCs w:val="20"/>
    </w:rPr>
  </w:style>
  <w:style w:type="character" w:styleId="FollowedHyperlink">
    <w:name w:val="FollowedHyperlink"/>
    <w:basedOn w:val="DefaultParagraphFont"/>
    <w:uiPriority w:val="99"/>
    <w:semiHidden/>
    <w:unhideWhenUsed/>
    <w:rsid w:val="00922B44"/>
    <w:rPr>
      <w:color w:val="954F72" w:themeColor="followedHyperlink"/>
      <w:u w:val="single"/>
    </w:rPr>
  </w:style>
  <w:style w:type="paragraph" w:styleId="BalloonText">
    <w:name w:val="Balloon Text"/>
    <w:basedOn w:val="Normal"/>
    <w:link w:val="BalloonTextChar"/>
    <w:uiPriority w:val="99"/>
    <w:semiHidden/>
    <w:unhideWhenUsed/>
    <w:rsid w:val="00931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2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8D63F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D63FD"/>
    <w:rPr>
      <w:sz w:val="20"/>
      <w:szCs w:val="20"/>
    </w:rPr>
  </w:style>
  <w:style w:type="character" w:styleId="FootnoteReference">
    <w:name w:val="footnote reference"/>
    <w:basedOn w:val="DefaultParagraphFont"/>
    <w:uiPriority w:val="99"/>
    <w:semiHidden/>
    <w:unhideWhenUsed/>
    <w:rsid w:val="008D6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wcm/key_documents_lists/159982/Directive10_EmergencyAction_Whitepaper_TAC_092618.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6D43-DA96-4DAF-BA62-24A3DC2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Ayson, Janice</dc:creator>
  <cp:keywords/>
  <dc:description/>
  <cp:lastModifiedBy>Ayson, Janice</cp:lastModifiedBy>
  <cp:revision>3</cp:revision>
  <dcterms:created xsi:type="dcterms:W3CDTF">2018-09-26T22:05:00Z</dcterms:created>
  <dcterms:modified xsi:type="dcterms:W3CDTF">2018-09-26T22:10:00Z</dcterms:modified>
</cp:coreProperties>
</file>