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5C" w:rsidRPr="00974A5C" w:rsidRDefault="008A577A" w:rsidP="00974A5C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Settlement </w:t>
      </w:r>
      <w:r w:rsidR="00974A5C" w:rsidRPr="00974A5C">
        <w:rPr>
          <w:b/>
          <w:bCs/>
          <w:sz w:val="28"/>
          <w:szCs w:val="28"/>
        </w:rPr>
        <w:t>Option 1 – Optional Switch</w:t>
      </w:r>
    </w:p>
    <w:p w:rsidR="00C77CD2" w:rsidRPr="00974A5C" w:rsidRDefault="008346BB" w:rsidP="00974A5C">
      <w:pPr>
        <w:numPr>
          <w:ilvl w:val="0"/>
          <w:numId w:val="3"/>
        </w:numPr>
      </w:pPr>
      <w:r w:rsidRPr="00974A5C">
        <w:t xml:space="preserve">Non-ERCOT Control Area </w:t>
      </w:r>
      <w:r w:rsidR="004F27D4">
        <w:t xml:space="preserve">agrees to </w:t>
      </w:r>
      <w:r w:rsidRPr="00974A5C">
        <w:t xml:space="preserve">release the SWGR. </w:t>
      </w:r>
    </w:p>
    <w:p w:rsidR="003B2D48" w:rsidRDefault="003B2D48" w:rsidP="00974A5C">
      <w:pPr>
        <w:numPr>
          <w:ilvl w:val="0"/>
          <w:numId w:val="3"/>
        </w:numPr>
      </w:pPr>
      <w:r w:rsidRPr="00974A5C">
        <w:t xml:space="preserve">ERCOT will </w:t>
      </w:r>
      <w:r w:rsidR="004F27D4">
        <w:t>request the</w:t>
      </w:r>
      <w:r w:rsidRPr="00974A5C">
        <w:t xml:space="preserve"> SWGR to switch for an Emergency Condition.</w:t>
      </w:r>
    </w:p>
    <w:p w:rsidR="00C77CD2" w:rsidRPr="00974A5C" w:rsidRDefault="008346BB" w:rsidP="00974A5C">
      <w:pPr>
        <w:numPr>
          <w:ilvl w:val="0"/>
          <w:numId w:val="3"/>
        </w:numPr>
      </w:pPr>
      <w:r w:rsidRPr="00974A5C">
        <w:t xml:space="preserve">SWGR QSE will </w:t>
      </w:r>
      <w:r w:rsidR="003B2D48">
        <w:t>decide whether</w:t>
      </w:r>
      <w:r w:rsidRPr="00974A5C">
        <w:t xml:space="preserve"> </w:t>
      </w:r>
      <w:r w:rsidR="003B2D48">
        <w:t>the</w:t>
      </w:r>
      <w:r w:rsidRPr="00974A5C">
        <w:t xml:space="preserve"> SWGR will move from non-ERCOT Control Area into ERCOT.</w:t>
      </w:r>
    </w:p>
    <w:p w:rsidR="00802E59" w:rsidRDefault="00802E59" w:rsidP="003B2D48">
      <w:pPr>
        <w:numPr>
          <w:ilvl w:val="0"/>
          <w:numId w:val="3"/>
        </w:numPr>
      </w:pPr>
      <w:r>
        <w:t xml:space="preserve">Settlement </w:t>
      </w:r>
      <w:r w:rsidR="004F27D4">
        <w:t xml:space="preserve">will be </w:t>
      </w:r>
      <w:r>
        <w:t>based on current Protocols</w:t>
      </w:r>
      <w:r w:rsidR="00E1133D">
        <w:t>.</w:t>
      </w:r>
    </w:p>
    <w:p w:rsidR="00C77CD2" w:rsidRDefault="004F27D4" w:rsidP="003B2D48">
      <w:pPr>
        <w:numPr>
          <w:ilvl w:val="0"/>
          <w:numId w:val="3"/>
        </w:numPr>
      </w:pPr>
      <w:r>
        <w:t>ERCOT may RUC the SWGR</w:t>
      </w:r>
      <w:r w:rsidR="00E1133D">
        <w:t>.</w:t>
      </w:r>
    </w:p>
    <w:p w:rsidR="00974A5C" w:rsidRPr="00974A5C" w:rsidRDefault="00974A5C" w:rsidP="00974A5C">
      <w:pPr>
        <w:ind w:left="720"/>
      </w:pPr>
    </w:p>
    <w:tbl>
      <w:tblPr>
        <w:tblW w:w="11430" w:type="dxa"/>
        <w:tblInd w:w="-1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5"/>
        <w:gridCol w:w="7105"/>
      </w:tblGrid>
      <w:tr w:rsidR="00974A5C" w:rsidTr="003B2D48">
        <w:tc>
          <w:tcPr>
            <w:tcW w:w="4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A5C" w:rsidRDefault="00974A5C" w:rsidP="003B2D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Potential Benefits</w:t>
            </w:r>
          </w:p>
        </w:tc>
        <w:tc>
          <w:tcPr>
            <w:tcW w:w="7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A5C" w:rsidRDefault="00974A5C" w:rsidP="003B2D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Potential Costs</w:t>
            </w:r>
          </w:p>
        </w:tc>
      </w:tr>
      <w:tr w:rsidR="00974A5C" w:rsidTr="003B2D48"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A5C" w:rsidRDefault="008A577A" w:rsidP="003B2D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Utilizes existing settlement processes; no incremental implementation costs </w:t>
            </w:r>
          </w:p>
          <w:p w:rsidR="00D21290" w:rsidRDefault="00D21290" w:rsidP="00D21290">
            <w:pPr>
              <w:pStyle w:val="ListParagraph"/>
              <w:spacing w:after="0" w:line="240" w:lineRule="auto"/>
              <w:ind w:left="360"/>
              <w:rPr>
                <w:b/>
                <w:bCs/>
              </w:rPr>
            </w:pPr>
          </w:p>
          <w:p w:rsidR="008A577A" w:rsidRDefault="008A577A" w:rsidP="008A57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Potentially lower uplift costs to market than with Settlement Option 2</w:t>
            </w:r>
          </w:p>
          <w:p w:rsidR="00A24CEF" w:rsidRDefault="002C6148" w:rsidP="002C2FFB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Market participant exposure capped at $9,000/M</w:t>
            </w:r>
            <w:r w:rsidR="008D5449">
              <w:rPr>
                <w:b/>
                <w:bCs/>
              </w:rPr>
              <w:t>W</w:t>
            </w:r>
            <w:r>
              <w:rPr>
                <w:b/>
                <w:bCs/>
              </w:rPr>
              <w:t>h</w:t>
            </w:r>
          </w:p>
          <w:p w:rsidR="000B228F" w:rsidRPr="000B228F" w:rsidRDefault="000B228F" w:rsidP="000B228F">
            <w:pPr>
              <w:pStyle w:val="ListParagraph"/>
              <w:rPr>
                <w:b/>
                <w:bCs/>
              </w:rPr>
            </w:pPr>
          </w:p>
          <w:p w:rsidR="00D21290" w:rsidRDefault="00D21290" w:rsidP="008A577A">
            <w:pPr>
              <w:pStyle w:val="ListParagraph"/>
              <w:spacing w:after="0" w:line="240" w:lineRule="auto"/>
              <w:ind w:left="360"/>
              <w:rPr>
                <w:b/>
                <w:bCs/>
              </w:rPr>
            </w:pPr>
          </w:p>
          <w:p w:rsidR="00974A5C" w:rsidRDefault="00974A5C" w:rsidP="003B2D48">
            <w:pPr>
              <w:pStyle w:val="ListParagraph"/>
              <w:spacing w:after="0" w:line="240" w:lineRule="auto"/>
              <w:ind w:left="1080" w:hanging="360"/>
            </w:pPr>
          </w:p>
        </w:tc>
        <w:tc>
          <w:tcPr>
            <w:tcW w:w="7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BA0" w:rsidRDefault="00DB0F34" w:rsidP="003B2D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ERCOT’s ability to maintain grid</w:t>
            </w:r>
            <w:r w:rsidR="003B2D48">
              <w:rPr>
                <w:b/>
                <w:bCs/>
              </w:rPr>
              <w:t xml:space="preserve"> reliability may be at risk if </w:t>
            </w:r>
            <w:r>
              <w:rPr>
                <w:b/>
                <w:bCs/>
              </w:rPr>
              <w:t xml:space="preserve">the SWGR </w:t>
            </w:r>
            <w:r w:rsidR="003B2D48">
              <w:rPr>
                <w:b/>
                <w:bCs/>
              </w:rPr>
              <w:t xml:space="preserve">does not switch to ERCOT during emergency conditions.  </w:t>
            </w:r>
          </w:p>
          <w:p w:rsidR="003B2D48" w:rsidRDefault="00C37BA0" w:rsidP="00DB0F34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ERCOT prices/settlement may not be sufficient to cover SWGR switching costs, especially </w:t>
            </w:r>
            <w:r w:rsidR="00C66E8D">
              <w:rPr>
                <w:b/>
                <w:bCs/>
              </w:rPr>
              <w:t xml:space="preserve">if </w:t>
            </w:r>
            <w:r w:rsidR="00DB0F34">
              <w:rPr>
                <w:b/>
                <w:bCs/>
              </w:rPr>
              <w:t xml:space="preserve">the </w:t>
            </w:r>
            <w:r w:rsidR="00C66E8D">
              <w:rPr>
                <w:b/>
                <w:bCs/>
              </w:rPr>
              <w:t xml:space="preserve">SWGR has obligations </w:t>
            </w:r>
            <w:r w:rsidR="00DB0F34">
              <w:rPr>
                <w:b/>
                <w:bCs/>
              </w:rPr>
              <w:t xml:space="preserve">and opportunities </w:t>
            </w:r>
            <w:r w:rsidR="00C66E8D">
              <w:rPr>
                <w:b/>
                <w:bCs/>
              </w:rPr>
              <w:t xml:space="preserve">in the non-ERCOT Control Area and the </w:t>
            </w:r>
            <w:r w:rsidR="004F05B2">
              <w:rPr>
                <w:b/>
                <w:bCs/>
              </w:rPr>
              <w:t>ERCOT emergency</w:t>
            </w:r>
            <w:r w:rsidR="003B2D48">
              <w:rPr>
                <w:b/>
                <w:bCs/>
              </w:rPr>
              <w:t xml:space="preserve"> conditions are not </w:t>
            </w:r>
            <w:r w:rsidR="002C6148">
              <w:rPr>
                <w:b/>
                <w:bCs/>
              </w:rPr>
              <w:t xml:space="preserve">a </w:t>
            </w:r>
            <w:r w:rsidR="003B2D48">
              <w:rPr>
                <w:b/>
                <w:bCs/>
              </w:rPr>
              <w:t>system-wide scarcity.</w:t>
            </w:r>
          </w:p>
          <w:p w:rsidR="00974A5C" w:rsidRDefault="00B24807" w:rsidP="003B2D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RUC Make-Whole Payments</w:t>
            </w:r>
          </w:p>
          <w:p w:rsidR="00B24807" w:rsidRDefault="00B24807" w:rsidP="003B2D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ERCOT may have to RUC </w:t>
            </w:r>
            <w:r w:rsidR="003B2D48">
              <w:rPr>
                <w:b/>
                <w:bCs/>
              </w:rPr>
              <w:t>other</w:t>
            </w:r>
            <w:r>
              <w:rPr>
                <w:b/>
                <w:bCs/>
              </w:rPr>
              <w:t xml:space="preserve"> </w:t>
            </w:r>
            <w:r w:rsidR="0068774B">
              <w:rPr>
                <w:b/>
                <w:bCs/>
              </w:rPr>
              <w:t xml:space="preserve">resources </w:t>
            </w:r>
            <w:r>
              <w:rPr>
                <w:b/>
                <w:bCs/>
              </w:rPr>
              <w:t xml:space="preserve">if </w:t>
            </w:r>
            <w:r w:rsidR="002357AB">
              <w:rPr>
                <w:b/>
                <w:bCs/>
              </w:rPr>
              <w:t xml:space="preserve">the </w:t>
            </w:r>
            <w:r>
              <w:rPr>
                <w:b/>
                <w:bCs/>
              </w:rPr>
              <w:t>SWGR chooses not to switch</w:t>
            </w:r>
          </w:p>
          <w:p w:rsidR="00B24807" w:rsidRDefault="00B24807" w:rsidP="003B2D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</w:p>
          <w:p w:rsidR="003B2D48" w:rsidRDefault="00A24CEF" w:rsidP="003B2D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Potential for PUCT/IMM withholding penalties if </w:t>
            </w:r>
            <w:r w:rsidR="003B2D48">
              <w:rPr>
                <w:b/>
                <w:bCs/>
              </w:rPr>
              <w:t xml:space="preserve">SWGR </w:t>
            </w:r>
            <w:r>
              <w:rPr>
                <w:b/>
                <w:bCs/>
              </w:rPr>
              <w:t>decides not to switch</w:t>
            </w:r>
            <w:r w:rsidR="00533738">
              <w:rPr>
                <w:b/>
                <w:bCs/>
              </w:rPr>
              <w:t>.</w:t>
            </w:r>
          </w:p>
          <w:p w:rsidR="00B24807" w:rsidRPr="00B24807" w:rsidRDefault="00B24807" w:rsidP="00B24807">
            <w:pPr>
              <w:ind w:left="360"/>
              <w:rPr>
                <w:b/>
                <w:bCs/>
              </w:rPr>
            </w:pPr>
          </w:p>
        </w:tc>
      </w:tr>
    </w:tbl>
    <w:p w:rsidR="00974A5C" w:rsidRDefault="00974A5C" w:rsidP="00974A5C">
      <w:pPr>
        <w:rPr>
          <w:b/>
        </w:rPr>
      </w:pPr>
    </w:p>
    <w:p w:rsidR="00974A5C" w:rsidRPr="00974A5C" w:rsidRDefault="008346BB" w:rsidP="00974A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Settlement </w:t>
      </w:r>
      <w:r w:rsidR="00974A5C" w:rsidRPr="00974A5C">
        <w:rPr>
          <w:b/>
          <w:sz w:val="28"/>
          <w:szCs w:val="28"/>
        </w:rPr>
        <w:t>Option 2 – Required Switch</w:t>
      </w:r>
    </w:p>
    <w:p w:rsidR="003B2D48" w:rsidRDefault="003B2D48" w:rsidP="00974A5C">
      <w:pPr>
        <w:numPr>
          <w:ilvl w:val="1"/>
          <w:numId w:val="2"/>
        </w:numPr>
        <w:tabs>
          <w:tab w:val="clear" w:pos="1440"/>
          <w:tab w:val="num" w:pos="720"/>
        </w:tabs>
        <w:ind w:left="720"/>
      </w:pPr>
      <w:r w:rsidRPr="00974A5C">
        <w:t xml:space="preserve">Non-ERCOT Control Area </w:t>
      </w:r>
      <w:r w:rsidR="004F27D4">
        <w:t xml:space="preserve">agrees to </w:t>
      </w:r>
      <w:r w:rsidRPr="00974A5C">
        <w:t xml:space="preserve">release the SWGR </w:t>
      </w:r>
    </w:p>
    <w:p w:rsidR="00974A5C" w:rsidRPr="00974A5C" w:rsidRDefault="00974A5C" w:rsidP="00974A5C">
      <w:pPr>
        <w:numPr>
          <w:ilvl w:val="1"/>
          <w:numId w:val="2"/>
        </w:numPr>
        <w:tabs>
          <w:tab w:val="clear" w:pos="1440"/>
          <w:tab w:val="num" w:pos="720"/>
        </w:tabs>
        <w:ind w:left="720"/>
      </w:pPr>
      <w:r w:rsidRPr="00974A5C">
        <w:t xml:space="preserve">ERCOT will </w:t>
      </w:r>
      <w:r w:rsidR="003B2D48">
        <w:t>order</w:t>
      </w:r>
      <w:r w:rsidRPr="00974A5C">
        <w:t xml:space="preserve"> </w:t>
      </w:r>
      <w:r w:rsidR="00077BEF">
        <w:t xml:space="preserve">the </w:t>
      </w:r>
      <w:r w:rsidRPr="00974A5C">
        <w:t xml:space="preserve">SWGR to switch for an Emergency Condition. </w:t>
      </w:r>
    </w:p>
    <w:p w:rsidR="00974A5C" w:rsidRPr="00974A5C" w:rsidRDefault="00974A5C" w:rsidP="00974A5C">
      <w:pPr>
        <w:numPr>
          <w:ilvl w:val="1"/>
          <w:numId w:val="2"/>
        </w:numPr>
        <w:tabs>
          <w:tab w:val="clear" w:pos="1440"/>
          <w:tab w:val="num" w:pos="720"/>
        </w:tabs>
        <w:ind w:left="720"/>
      </w:pPr>
      <w:r w:rsidRPr="00974A5C">
        <w:t>SWGR required to switch to ERCOT if capable.</w:t>
      </w:r>
    </w:p>
    <w:p w:rsidR="00974A5C" w:rsidRPr="00974A5C" w:rsidRDefault="00974A5C" w:rsidP="00974A5C">
      <w:pPr>
        <w:numPr>
          <w:ilvl w:val="1"/>
          <w:numId w:val="2"/>
        </w:numPr>
        <w:tabs>
          <w:tab w:val="clear" w:pos="1440"/>
          <w:tab w:val="num" w:pos="720"/>
        </w:tabs>
        <w:ind w:left="720"/>
      </w:pPr>
      <w:r w:rsidRPr="00974A5C">
        <w:t>Potential for additional settlement treatment</w:t>
      </w:r>
      <w:r w:rsidR="00077BEF">
        <w:t xml:space="preserve"> </w:t>
      </w:r>
      <w:r w:rsidR="004D050C">
        <w:t xml:space="preserve">to cover </w:t>
      </w:r>
      <w:r w:rsidR="00EC779B">
        <w:t xml:space="preserve">direct and verifiable </w:t>
      </w:r>
      <w:r w:rsidR="004D050C">
        <w:t>switching costs</w:t>
      </w:r>
    </w:p>
    <w:p w:rsidR="00974A5C" w:rsidRDefault="00974A5C" w:rsidP="00974A5C"/>
    <w:tbl>
      <w:tblPr>
        <w:tblW w:w="11430" w:type="dxa"/>
        <w:tblInd w:w="-1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5"/>
        <w:gridCol w:w="7105"/>
      </w:tblGrid>
      <w:tr w:rsidR="005F445D" w:rsidTr="00C32E09">
        <w:tc>
          <w:tcPr>
            <w:tcW w:w="4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45D" w:rsidRDefault="005F44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Potential Benefits</w:t>
            </w:r>
          </w:p>
        </w:tc>
        <w:tc>
          <w:tcPr>
            <w:tcW w:w="7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45D" w:rsidRDefault="005F44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Potential Costs</w:t>
            </w:r>
          </w:p>
        </w:tc>
      </w:tr>
      <w:tr w:rsidR="005F445D" w:rsidTr="00C32E09"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290" w:rsidRDefault="003B2D48" w:rsidP="004745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SWGR assured to be compensated for all </w:t>
            </w:r>
            <w:r w:rsidR="008330D9">
              <w:rPr>
                <w:b/>
                <w:bCs/>
              </w:rPr>
              <w:t xml:space="preserve">direct and verifiable </w:t>
            </w:r>
            <w:r>
              <w:rPr>
                <w:b/>
                <w:bCs/>
              </w:rPr>
              <w:t>costs of switching.</w:t>
            </w:r>
          </w:p>
          <w:p w:rsidR="0081744B" w:rsidRDefault="0081744B" w:rsidP="004745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Provides better incentive to </w:t>
            </w:r>
            <w:r w:rsidR="008D5449">
              <w:rPr>
                <w:b/>
                <w:bCs/>
              </w:rPr>
              <w:t xml:space="preserve">SWGRs </w:t>
            </w:r>
            <w:r>
              <w:rPr>
                <w:b/>
                <w:bCs/>
              </w:rPr>
              <w:t xml:space="preserve">to make </w:t>
            </w:r>
            <w:r w:rsidR="000B228F">
              <w:rPr>
                <w:b/>
                <w:bCs/>
              </w:rPr>
              <w:t xml:space="preserve">themselves </w:t>
            </w:r>
            <w:r>
              <w:rPr>
                <w:b/>
                <w:bCs/>
              </w:rPr>
              <w:t>available to ERCOT during emergency conditions</w:t>
            </w:r>
          </w:p>
          <w:p w:rsidR="0081744B" w:rsidRDefault="0081744B" w:rsidP="004745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Allows ERCOT </w:t>
            </w:r>
            <w:r w:rsidR="003B2D48">
              <w:rPr>
                <w:b/>
                <w:bCs/>
              </w:rPr>
              <w:t xml:space="preserve">greater certainty that SWGR will be available to ERCOT to </w:t>
            </w:r>
            <w:r>
              <w:rPr>
                <w:b/>
                <w:bCs/>
              </w:rPr>
              <w:t>manage grid reliability</w:t>
            </w:r>
          </w:p>
          <w:p w:rsidR="00D556F0" w:rsidRDefault="00D556F0" w:rsidP="004745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No </w:t>
            </w:r>
            <w:r w:rsidR="003B2D48">
              <w:rPr>
                <w:b/>
                <w:bCs/>
              </w:rPr>
              <w:t xml:space="preserve">opportunity for </w:t>
            </w:r>
            <w:r>
              <w:rPr>
                <w:b/>
                <w:bCs/>
              </w:rPr>
              <w:t xml:space="preserve">SWGR </w:t>
            </w:r>
            <w:r w:rsidR="003B2D48">
              <w:rPr>
                <w:b/>
                <w:bCs/>
              </w:rPr>
              <w:t xml:space="preserve">decision making to be questioned by either </w:t>
            </w:r>
            <w:r>
              <w:rPr>
                <w:b/>
                <w:bCs/>
              </w:rPr>
              <w:t>IMM/PUCT</w:t>
            </w:r>
            <w:r w:rsidR="00AD452D">
              <w:rPr>
                <w:b/>
                <w:bCs/>
              </w:rPr>
              <w:t xml:space="preserve"> </w:t>
            </w:r>
            <w:r w:rsidR="003B2D48">
              <w:rPr>
                <w:b/>
                <w:bCs/>
              </w:rPr>
              <w:t xml:space="preserve">or </w:t>
            </w:r>
            <w:r w:rsidR="00AD452D">
              <w:rPr>
                <w:b/>
                <w:bCs/>
              </w:rPr>
              <w:t>FERC</w:t>
            </w:r>
          </w:p>
          <w:p w:rsidR="00D21290" w:rsidRDefault="00D21290" w:rsidP="00D21290">
            <w:pPr>
              <w:pStyle w:val="ListParagraph"/>
              <w:spacing w:after="0" w:line="240" w:lineRule="auto"/>
              <w:ind w:left="360"/>
              <w:rPr>
                <w:b/>
                <w:bCs/>
              </w:rPr>
            </w:pPr>
          </w:p>
          <w:p w:rsidR="00CC3AEC" w:rsidRPr="00875E23" w:rsidRDefault="00CC3AEC" w:rsidP="00875E23">
            <w:pPr>
              <w:rPr>
                <w:b/>
                <w:bCs/>
              </w:rPr>
            </w:pPr>
          </w:p>
          <w:p w:rsidR="00D21290" w:rsidRPr="00D21290" w:rsidRDefault="00D21290" w:rsidP="00D21290">
            <w:pPr>
              <w:pStyle w:val="ListParagraph"/>
              <w:rPr>
                <w:b/>
                <w:bCs/>
              </w:rPr>
            </w:pPr>
          </w:p>
          <w:p w:rsidR="005F445D" w:rsidRDefault="005F445D" w:rsidP="00C32E09">
            <w:pPr>
              <w:pStyle w:val="ListParagraph"/>
              <w:spacing w:after="0" w:line="240" w:lineRule="auto"/>
              <w:ind w:left="1080" w:hanging="360"/>
            </w:pPr>
          </w:p>
        </w:tc>
        <w:tc>
          <w:tcPr>
            <w:tcW w:w="7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D48" w:rsidRPr="00802E59" w:rsidRDefault="005F445D">
            <w:pPr>
              <w:pStyle w:val="ListParagraph"/>
              <w:spacing w:after="0" w:line="240" w:lineRule="auto"/>
              <w:ind w:hanging="360"/>
              <w:rPr>
                <w:rFonts w:asciiTheme="minorHAnsi" w:hAnsiTheme="minorHAnsi"/>
                <w:b/>
                <w:bCs/>
              </w:rPr>
            </w:pPr>
            <w:r w:rsidRPr="00802E59">
              <w:rPr>
                <w:rFonts w:asciiTheme="minorHAnsi" w:hAnsiTheme="minorHAnsi"/>
                <w:b/>
                <w:bCs/>
              </w:rPr>
              <w:t>1.</w:t>
            </w:r>
            <w:r w:rsidRPr="003B2D48">
              <w:rPr>
                <w:rFonts w:asciiTheme="minorHAnsi" w:hAnsiTheme="minorHAnsi"/>
                <w:b/>
                <w:bCs/>
              </w:rPr>
              <w:t>    </w:t>
            </w:r>
            <w:r w:rsidR="003B2D48" w:rsidRPr="003B2D48">
              <w:rPr>
                <w:rFonts w:asciiTheme="minorHAnsi" w:hAnsiTheme="minorHAnsi"/>
                <w:b/>
                <w:bCs/>
              </w:rPr>
              <w:t>ERCOT</w:t>
            </w:r>
            <w:r w:rsidR="003B2D48">
              <w:rPr>
                <w:rFonts w:asciiTheme="minorHAnsi" w:hAnsiTheme="minorHAnsi"/>
                <w:b/>
                <w:bCs/>
              </w:rPr>
              <w:t xml:space="preserve"> market participants bear </w:t>
            </w:r>
            <w:r w:rsidR="00EC779B">
              <w:rPr>
                <w:rFonts w:asciiTheme="minorHAnsi" w:hAnsiTheme="minorHAnsi"/>
                <w:b/>
                <w:bCs/>
              </w:rPr>
              <w:t xml:space="preserve">the following direct and verifiable </w:t>
            </w:r>
            <w:r w:rsidR="003B2D48">
              <w:rPr>
                <w:rFonts w:asciiTheme="minorHAnsi" w:hAnsiTheme="minorHAnsi"/>
                <w:b/>
                <w:bCs/>
              </w:rPr>
              <w:t xml:space="preserve">costs that </w:t>
            </w:r>
            <w:r w:rsidR="002307E5">
              <w:rPr>
                <w:rFonts w:asciiTheme="minorHAnsi" w:hAnsiTheme="minorHAnsi"/>
                <w:b/>
                <w:bCs/>
              </w:rPr>
              <w:t xml:space="preserve">the </w:t>
            </w:r>
            <w:r w:rsidR="003B2D48">
              <w:rPr>
                <w:rFonts w:asciiTheme="minorHAnsi" w:hAnsiTheme="minorHAnsi"/>
                <w:b/>
                <w:bCs/>
              </w:rPr>
              <w:t xml:space="preserve">SWGR </w:t>
            </w:r>
            <w:r w:rsidR="008D5449">
              <w:rPr>
                <w:rFonts w:asciiTheme="minorHAnsi" w:hAnsiTheme="minorHAnsi"/>
                <w:b/>
                <w:bCs/>
              </w:rPr>
              <w:t xml:space="preserve">could </w:t>
            </w:r>
            <w:r w:rsidR="003B2D48">
              <w:rPr>
                <w:rFonts w:asciiTheme="minorHAnsi" w:hAnsiTheme="minorHAnsi"/>
                <w:b/>
                <w:bCs/>
              </w:rPr>
              <w:t>incur due to switching</w:t>
            </w:r>
          </w:p>
          <w:p w:rsidR="005F445D" w:rsidRDefault="005F445D" w:rsidP="00802E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Capacity penalties</w:t>
            </w:r>
          </w:p>
          <w:p w:rsidR="005F445D" w:rsidRDefault="004D050C">
            <w:pPr>
              <w:pStyle w:val="ListParagraph"/>
              <w:spacing w:after="0" w:line="240" w:lineRule="auto"/>
              <w:ind w:left="1080" w:hanging="360"/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 w:rsidR="005F445D">
              <w:rPr>
                <w:rFonts w:ascii="Wingdings" w:hAnsi="Wingdings"/>
              </w:rPr>
              <w:t></w:t>
            </w:r>
            <w:r w:rsidR="005F445D">
              <w:rPr>
                <w:rFonts w:ascii="Times New Roman" w:hAnsi="Times New Roman"/>
                <w:sz w:val="14"/>
                <w:szCs w:val="14"/>
              </w:rPr>
              <w:t xml:space="preserve">  </w:t>
            </w:r>
            <w:r w:rsidR="005F445D">
              <w:t>SWG cannot meet capacity obligations</w:t>
            </w:r>
          </w:p>
          <w:p w:rsidR="005F445D" w:rsidRDefault="004D050C">
            <w:pPr>
              <w:pStyle w:val="ListParagraph"/>
              <w:spacing w:after="0" w:line="240" w:lineRule="auto"/>
              <w:ind w:left="1080" w:hanging="360"/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 w:rsidR="005F445D">
              <w:rPr>
                <w:rFonts w:ascii="Wingdings" w:hAnsi="Wingdings"/>
              </w:rPr>
              <w:t></w:t>
            </w:r>
            <w:r w:rsidR="005F445D">
              <w:rPr>
                <w:rFonts w:ascii="Times New Roman" w:hAnsi="Times New Roman"/>
                <w:sz w:val="14"/>
                <w:szCs w:val="14"/>
              </w:rPr>
              <w:t xml:space="preserve">  </w:t>
            </w:r>
            <w:r w:rsidR="005F445D">
              <w:t>Potential penalty = $1,200,000</w:t>
            </w:r>
          </w:p>
          <w:p w:rsidR="005F445D" w:rsidRDefault="005F445D" w:rsidP="00802E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Incremental start trip costs (during synchronous speed &amp; no load)</w:t>
            </w:r>
          </w:p>
          <w:p w:rsidR="005F445D" w:rsidRDefault="004D050C">
            <w:pPr>
              <w:pStyle w:val="ListParagraph"/>
              <w:spacing w:after="0" w:line="240" w:lineRule="auto"/>
              <w:ind w:left="1080" w:hanging="360"/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 w:rsidR="005F445D">
              <w:rPr>
                <w:rFonts w:ascii="Wingdings" w:hAnsi="Wingdings"/>
              </w:rPr>
              <w:t></w:t>
            </w:r>
            <w:r w:rsidR="005F445D">
              <w:rPr>
                <w:rFonts w:ascii="Times New Roman" w:hAnsi="Times New Roman"/>
                <w:sz w:val="14"/>
                <w:szCs w:val="14"/>
              </w:rPr>
              <w:t xml:space="preserve">  </w:t>
            </w:r>
            <w:r w:rsidR="005F445D">
              <w:t>Potential cost approx. $10,000 per start (industry average)</w:t>
            </w:r>
          </w:p>
          <w:p w:rsidR="005F445D" w:rsidRDefault="005F445D" w:rsidP="00802E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Gas penalties</w:t>
            </w:r>
          </w:p>
          <w:p w:rsidR="005F445D" w:rsidRDefault="004D050C">
            <w:pPr>
              <w:pStyle w:val="ListParagraph"/>
              <w:spacing w:after="0" w:line="240" w:lineRule="auto"/>
              <w:ind w:left="1080" w:hanging="360"/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 w:rsidR="005F445D">
              <w:rPr>
                <w:rFonts w:ascii="Wingdings" w:hAnsi="Wingdings"/>
              </w:rPr>
              <w:t></w:t>
            </w:r>
            <w:r w:rsidR="005F445D">
              <w:rPr>
                <w:rFonts w:ascii="Times New Roman" w:hAnsi="Times New Roman"/>
                <w:sz w:val="14"/>
                <w:szCs w:val="14"/>
              </w:rPr>
              <w:t xml:space="preserve">  </w:t>
            </w:r>
            <w:r w:rsidR="005F445D">
              <w:t>Costs associated with missed scheduled gas burn</w:t>
            </w:r>
          </w:p>
          <w:p w:rsidR="005F445D" w:rsidRDefault="004D050C">
            <w:pPr>
              <w:pStyle w:val="ListParagraph"/>
              <w:spacing w:after="0" w:line="240" w:lineRule="auto"/>
              <w:ind w:left="1080" w:hanging="360"/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 w:rsidR="005F445D">
              <w:rPr>
                <w:rFonts w:ascii="Wingdings" w:hAnsi="Wingdings"/>
              </w:rPr>
              <w:t></w:t>
            </w:r>
            <w:r w:rsidR="005F445D">
              <w:rPr>
                <w:rFonts w:ascii="Times New Roman" w:hAnsi="Times New Roman"/>
                <w:sz w:val="14"/>
                <w:szCs w:val="14"/>
              </w:rPr>
              <w:t xml:space="preserve">  </w:t>
            </w:r>
            <w:r w:rsidR="005F445D">
              <w:t>Potential storage and demand charges</w:t>
            </w:r>
          </w:p>
          <w:p w:rsidR="005F445D" w:rsidRDefault="004D050C">
            <w:pPr>
              <w:pStyle w:val="ListParagraph"/>
              <w:spacing w:after="0" w:line="240" w:lineRule="auto"/>
              <w:ind w:left="1080" w:hanging="360"/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 w:rsidR="005F445D">
              <w:rPr>
                <w:rFonts w:ascii="Wingdings" w:hAnsi="Wingdings"/>
              </w:rPr>
              <w:t></w:t>
            </w:r>
            <w:r w:rsidR="005F445D">
              <w:rPr>
                <w:rFonts w:ascii="Times New Roman" w:hAnsi="Times New Roman"/>
                <w:sz w:val="14"/>
                <w:szCs w:val="14"/>
              </w:rPr>
              <w:t xml:space="preserve">  </w:t>
            </w:r>
            <w:r w:rsidR="005F445D">
              <w:t>Costs as high as $225,00</w:t>
            </w:r>
            <w:r w:rsidR="00E1133D">
              <w:t>0</w:t>
            </w:r>
            <w:r w:rsidR="005F445D">
              <w:t xml:space="preserve"> per hour</w:t>
            </w:r>
          </w:p>
          <w:p w:rsidR="005F445D" w:rsidRDefault="005F445D" w:rsidP="00802E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Breach of bilateral obligations/ Liquidated damages</w:t>
            </w:r>
          </w:p>
          <w:p w:rsidR="005F445D" w:rsidRDefault="004D050C">
            <w:pPr>
              <w:pStyle w:val="ListParagraph"/>
              <w:spacing w:after="0" w:line="240" w:lineRule="auto"/>
              <w:ind w:left="1080" w:hanging="360"/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 w:rsidR="005F445D">
              <w:rPr>
                <w:rFonts w:ascii="Wingdings" w:hAnsi="Wingdings"/>
              </w:rPr>
              <w:t></w:t>
            </w:r>
            <w:r w:rsidR="005F445D">
              <w:rPr>
                <w:rFonts w:ascii="Times New Roman" w:hAnsi="Times New Roman"/>
                <w:sz w:val="14"/>
                <w:szCs w:val="14"/>
              </w:rPr>
              <w:t xml:space="preserve">  </w:t>
            </w:r>
            <w:r w:rsidR="005F445D">
              <w:t xml:space="preserve">Potential capacity replacement costs </w:t>
            </w:r>
          </w:p>
          <w:p w:rsidR="005F445D" w:rsidRDefault="004D050C">
            <w:pPr>
              <w:pStyle w:val="ListParagraph"/>
              <w:spacing w:after="0" w:line="240" w:lineRule="auto"/>
              <w:ind w:left="1080" w:hanging="360"/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 w:rsidR="005F445D">
              <w:rPr>
                <w:rFonts w:ascii="Wingdings" w:hAnsi="Wingdings"/>
              </w:rPr>
              <w:t></w:t>
            </w:r>
            <w:r w:rsidR="005F445D">
              <w:rPr>
                <w:rFonts w:ascii="Times New Roman" w:hAnsi="Times New Roman"/>
                <w:sz w:val="14"/>
                <w:szCs w:val="14"/>
              </w:rPr>
              <w:t xml:space="preserve">  </w:t>
            </w:r>
            <w:r w:rsidR="005F445D">
              <w:t>Costs as high as $772,000 per hour</w:t>
            </w:r>
          </w:p>
          <w:p w:rsidR="005F445D" w:rsidRDefault="005F445D" w:rsidP="00802E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Right of private action exemption</w:t>
            </w:r>
          </w:p>
          <w:p w:rsidR="005F445D" w:rsidRDefault="004D050C" w:rsidP="005F445D">
            <w:pPr>
              <w:pStyle w:val="ListParagraph"/>
              <w:spacing w:after="0" w:line="240" w:lineRule="auto"/>
              <w:ind w:left="1080" w:hanging="360"/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 w:rsidR="005F445D">
              <w:rPr>
                <w:rFonts w:ascii="Wingdings" w:hAnsi="Wingdings"/>
              </w:rPr>
              <w:t></w:t>
            </w:r>
            <w:r w:rsidR="005F445D">
              <w:rPr>
                <w:rFonts w:ascii="Times New Roman" w:hAnsi="Times New Roman"/>
                <w:sz w:val="14"/>
                <w:szCs w:val="14"/>
              </w:rPr>
              <w:t xml:space="preserve">  </w:t>
            </w:r>
            <w:r w:rsidR="00074281">
              <w:t>Undefined</w:t>
            </w:r>
          </w:p>
          <w:p w:rsidR="005F445D" w:rsidRDefault="005F445D" w:rsidP="00802E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NERC violations</w:t>
            </w:r>
          </w:p>
          <w:p w:rsidR="005F445D" w:rsidRDefault="004D050C" w:rsidP="005F445D">
            <w:pPr>
              <w:pStyle w:val="ListParagraph"/>
              <w:spacing w:after="0" w:line="240" w:lineRule="auto"/>
              <w:ind w:left="1080" w:hanging="360"/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 w:rsidR="005F445D">
              <w:rPr>
                <w:rFonts w:ascii="Wingdings" w:hAnsi="Wingdings"/>
              </w:rPr>
              <w:t></w:t>
            </w:r>
            <w:r w:rsidR="005F445D">
              <w:rPr>
                <w:rFonts w:ascii="Times New Roman" w:hAnsi="Times New Roman"/>
                <w:sz w:val="14"/>
                <w:szCs w:val="14"/>
              </w:rPr>
              <w:t xml:space="preserve">  </w:t>
            </w:r>
            <w:r w:rsidR="005F445D">
              <w:t>Potential costs as high as $1, 000,000 per day</w:t>
            </w:r>
          </w:p>
          <w:p w:rsidR="00D61C4B" w:rsidRDefault="00D61C4B" w:rsidP="00802E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Penalties imposed under PPA </w:t>
            </w:r>
          </w:p>
          <w:p w:rsidR="00875E23" w:rsidRDefault="004D050C" w:rsidP="00802E59">
            <w:pPr>
              <w:pStyle w:val="ListParagraph"/>
              <w:spacing w:after="0" w:line="240" w:lineRule="auto"/>
              <w:ind w:left="360" w:hanging="36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D61C4B">
              <w:rPr>
                <w:b/>
                <w:bCs/>
              </w:rPr>
              <w:t>2.</w:t>
            </w:r>
            <w:r>
              <w:rPr>
                <w:b/>
                <w:bCs/>
              </w:rPr>
              <w:t xml:space="preserve">   </w:t>
            </w:r>
            <w:r w:rsidR="00D61C4B">
              <w:rPr>
                <w:b/>
                <w:bCs/>
              </w:rPr>
              <w:t xml:space="preserve"> </w:t>
            </w:r>
            <w:r w:rsidR="00875E23">
              <w:rPr>
                <w:b/>
                <w:bCs/>
              </w:rPr>
              <w:t>Potentially more expensive settlement implementation costs</w:t>
            </w:r>
          </w:p>
          <w:p w:rsidR="00074281" w:rsidRDefault="00074281" w:rsidP="00802E59">
            <w:pPr>
              <w:pStyle w:val="ListParagraph"/>
              <w:spacing w:after="0" w:line="240" w:lineRule="auto"/>
              <w:ind w:left="360" w:hanging="360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4D050C">
              <w:rPr>
                <w:b/>
                <w:bCs/>
              </w:rPr>
              <w:t xml:space="preserve"> </w:t>
            </w:r>
            <w:r w:rsidR="00D61C4B">
              <w:rPr>
                <w:b/>
                <w:bCs/>
              </w:rPr>
              <w:t>3.</w:t>
            </w:r>
            <w:r w:rsidR="004D050C">
              <w:rPr>
                <w:b/>
                <w:bCs/>
              </w:rPr>
              <w:t xml:space="preserve">   </w:t>
            </w:r>
            <w:r w:rsidR="00D61C4B">
              <w:rPr>
                <w:b/>
                <w:bCs/>
              </w:rPr>
              <w:t xml:space="preserve"> </w:t>
            </w:r>
          </w:p>
          <w:p w:rsidR="00074281" w:rsidRPr="004D050C" w:rsidRDefault="00074281" w:rsidP="004D050C">
            <w:pPr>
              <w:rPr>
                <w:b/>
                <w:bCs/>
              </w:rPr>
            </w:pPr>
          </w:p>
          <w:p w:rsidR="005F445D" w:rsidRDefault="005F445D" w:rsidP="00802E59">
            <w:pPr>
              <w:pStyle w:val="ListParagraph"/>
              <w:spacing w:after="0" w:line="240" w:lineRule="auto"/>
              <w:ind w:hanging="360"/>
              <w:rPr>
                <w:b/>
                <w:bCs/>
              </w:rPr>
            </w:pPr>
          </w:p>
        </w:tc>
      </w:tr>
    </w:tbl>
    <w:p w:rsidR="005F445D" w:rsidRDefault="005F445D"/>
    <w:p w:rsidR="00AD452D" w:rsidRPr="005C56F6" w:rsidRDefault="00AD452D">
      <w:pPr>
        <w:rPr>
          <w:u w:val="single"/>
        </w:rPr>
      </w:pPr>
      <w:r w:rsidRPr="005C56F6">
        <w:rPr>
          <w:u w:val="single"/>
        </w:rPr>
        <w:t>Other things to consider</w:t>
      </w:r>
    </w:p>
    <w:p w:rsidR="00974A5C" w:rsidRDefault="00715159" w:rsidP="00715159">
      <w:pPr>
        <w:pStyle w:val="ListParagraph"/>
        <w:numPr>
          <w:ilvl w:val="0"/>
          <w:numId w:val="6"/>
        </w:numPr>
      </w:pPr>
      <w:r>
        <w:t>Can we diffe</w:t>
      </w:r>
      <w:r w:rsidR="005C56F6">
        <w:t>rentiate QSGRS from other units in the application of switching policies?</w:t>
      </w:r>
    </w:p>
    <w:p w:rsidR="00715159" w:rsidRDefault="00715159" w:rsidP="00715159">
      <w:pPr>
        <w:pStyle w:val="ListParagraph"/>
        <w:numPr>
          <w:ilvl w:val="0"/>
          <w:numId w:val="6"/>
        </w:numPr>
      </w:pPr>
      <w:r>
        <w:t>Do we need separate settlement treatment for different ISO connected SWGRS</w:t>
      </w:r>
    </w:p>
    <w:p w:rsidR="00715159" w:rsidRDefault="00715159" w:rsidP="00715159">
      <w:pPr>
        <w:pStyle w:val="ListParagraph"/>
      </w:pPr>
    </w:p>
    <w:sectPr w:rsidR="00715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2B69"/>
    <w:multiLevelType w:val="hybridMultilevel"/>
    <w:tmpl w:val="116E2E5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B1859"/>
    <w:multiLevelType w:val="hybridMultilevel"/>
    <w:tmpl w:val="986E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C469B"/>
    <w:multiLevelType w:val="hybridMultilevel"/>
    <w:tmpl w:val="C6AA13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1519C"/>
    <w:multiLevelType w:val="hybridMultilevel"/>
    <w:tmpl w:val="4D38D9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EB5BF3"/>
    <w:multiLevelType w:val="hybridMultilevel"/>
    <w:tmpl w:val="9ED4AFE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925F6F"/>
    <w:multiLevelType w:val="hybridMultilevel"/>
    <w:tmpl w:val="016E18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6A07C1"/>
    <w:multiLevelType w:val="hybridMultilevel"/>
    <w:tmpl w:val="76DA2ECE"/>
    <w:lvl w:ilvl="0" w:tplc="04090019">
      <w:start w:val="1"/>
      <w:numFmt w:val="lowerLetter"/>
      <w:lvlText w:val="%1."/>
      <w:lvlJc w:val="left"/>
      <w:pPr>
        <w:ind w:left="1110" w:hanging="360"/>
      </w:p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328D1579"/>
    <w:multiLevelType w:val="hybridMultilevel"/>
    <w:tmpl w:val="E4A050C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C21358"/>
    <w:multiLevelType w:val="hybridMultilevel"/>
    <w:tmpl w:val="3690A0BE"/>
    <w:lvl w:ilvl="0" w:tplc="987A02C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22A26"/>
    <w:multiLevelType w:val="hybridMultilevel"/>
    <w:tmpl w:val="72443FAC"/>
    <w:lvl w:ilvl="0" w:tplc="131A27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8584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B249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3A3C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888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F8F9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1A02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10BD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F02E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F3D2F"/>
    <w:multiLevelType w:val="hybridMultilevel"/>
    <w:tmpl w:val="F984CB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5A0FC1"/>
    <w:multiLevelType w:val="hybridMultilevel"/>
    <w:tmpl w:val="05E44DFA"/>
    <w:lvl w:ilvl="0" w:tplc="C802A9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FE0AD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6ACD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C8B8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E82A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59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4AC5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0CE6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745E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5D"/>
    <w:rsid w:val="000739B8"/>
    <w:rsid w:val="00074281"/>
    <w:rsid w:val="00077BEF"/>
    <w:rsid w:val="000B228F"/>
    <w:rsid w:val="002307E5"/>
    <w:rsid w:val="002357AB"/>
    <w:rsid w:val="002C2FFB"/>
    <w:rsid w:val="002C6148"/>
    <w:rsid w:val="003B2D48"/>
    <w:rsid w:val="003C0BB2"/>
    <w:rsid w:val="0047451E"/>
    <w:rsid w:val="004D050C"/>
    <w:rsid w:val="004F05B2"/>
    <w:rsid w:val="004F27D4"/>
    <w:rsid w:val="00533738"/>
    <w:rsid w:val="005C56F6"/>
    <w:rsid w:val="005F445D"/>
    <w:rsid w:val="0068774B"/>
    <w:rsid w:val="00715159"/>
    <w:rsid w:val="00802E59"/>
    <w:rsid w:val="0081744B"/>
    <w:rsid w:val="00827F90"/>
    <w:rsid w:val="008330D9"/>
    <w:rsid w:val="008346BB"/>
    <w:rsid w:val="00875E23"/>
    <w:rsid w:val="008A577A"/>
    <w:rsid w:val="008D5449"/>
    <w:rsid w:val="00942D4B"/>
    <w:rsid w:val="00960407"/>
    <w:rsid w:val="00974A5C"/>
    <w:rsid w:val="00A24CEF"/>
    <w:rsid w:val="00AD452D"/>
    <w:rsid w:val="00B24807"/>
    <w:rsid w:val="00B358C1"/>
    <w:rsid w:val="00C32E09"/>
    <w:rsid w:val="00C37BA0"/>
    <w:rsid w:val="00C66C18"/>
    <w:rsid w:val="00C66E8D"/>
    <w:rsid w:val="00C77CD2"/>
    <w:rsid w:val="00CC3AEC"/>
    <w:rsid w:val="00D21290"/>
    <w:rsid w:val="00D556F0"/>
    <w:rsid w:val="00D61C4B"/>
    <w:rsid w:val="00DB0F34"/>
    <w:rsid w:val="00E1133D"/>
    <w:rsid w:val="00EC779B"/>
    <w:rsid w:val="00F05276"/>
    <w:rsid w:val="00F2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0469F-38B6-432D-8195-3BED0FD0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45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45D"/>
    <w:pPr>
      <w:spacing w:after="160" w:line="252" w:lineRule="auto"/>
      <w:ind w:left="720"/>
      <w:contextualSpacing/>
    </w:pPr>
  </w:style>
  <w:style w:type="paragraph" w:styleId="NoSpacing">
    <w:name w:val="No Spacing"/>
    <w:uiPriority w:val="1"/>
    <w:qFormat/>
    <w:rsid w:val="00974A5C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91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09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8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4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29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5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18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296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Ino</dc:creator>
  <cp:keywords/>
  <dc:description/>
  <cp:lastModifiedBy>Vinson, Paul T.</cp:lastModifiedBy>
  <cp:revision>5</cp:revision>
  <cp:lastPrinted>2016-10-12T15:45:00Z</cp:lastPrinted>
  <dcterms:created xsi:type="dcterms:W3CDTF">2016-10-12T17:51:00Z</dcterms:created>
  <dcterms:modified xsi:type="dcterms:W3CDTF">2016-10-12T19:10:00Z</dcterms:modified>
</cp:coreProperties>
</file>