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F9" w:rsidRDefault="00013AF9" w:rsidP="00E6398C"/>
    <w:p w:rsidR="00013AF9" w:rsidRDefault="00122614" w:rsidP="00013AF9">
      <w:bookmarkStart w:id="0" w:name="_GoBack"/>
      <w:r>
        <w:t>ERCOT Opinions for 0</w:t>
      </w:r>
      <w:r w:rsidR="00C859C3">
        <w:t>9</w:t>
      </w:r>
      <w:r w:rsidR="00013AF9" w:rsidRPr="00563265">
        <w:t>/2</w:t>
      </w:r>
      <w:r>
        <w:t>6</w:t>
      </w:r>
      <w:r w:rsidR="00013AF9" w:rsidRPr="00563265">
        <w:t xml:space="preserve">/18 TAC  </w:t>
      </w:r>
    </w:p>
    <w:bookmarkEnd w:id="0"/>
    <w:p w:rsidR="00C859C3" w:rsidRPr="00563265" w:rsidRDefault="00C859C3" w:rsidP="00013AF9"/>
    <w:tbl>
      <w:tblPr>
        <w:tblW w:w="12951" w:type="dxa"/>
        <w:tblInd w:w="-8" w:type="dxa"/>
        <w:tblCellMar>
          <w:left w:w="0" w:type="dxa"/>
          <w:right w:w="0" w:type="dxa"/>
        </w:tblCellMar>
        <w:tblLook w:val="04A0" w:firstRow="1" w:lastRow="0" w:firstColumn="1" w:lastColumn="0" w:noHBand="0" w:noVBand="1"/>
      </w:tblPr>
      <w:tblGrid>
        <w:gridCol w:w="1145"/>
        <w:gridCol w:w="6942"/>
        <w:gridCol w:w="985"/>
        <w:gridCol w:w="1167"/>
        <w:gridCol w:w="2712"/>
      </w:tblGrid>
      <w:tr w:rsidR="00013AF9" w:rsidTr="00EE72D2">
        <w:trPr>
          <w:trHeight w:val="547"/>
        </w:trPr>
        <w:tc>
          <w:tcPr>
            <w:tcW w:w="1145"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013AF9" w:rsidRDefault="00013AF9" w:rsidP="0059358D">
            <w:pPr>
              <w:rPr>
                <w:b/>
                <w:bCs/>
                <w:color w:val="FFFFFF"/>
              </w:rPr>
            </w:pPr>
            <w:r>
              <w:rPr>
                <w:b/>
                <w:bCs/>
                <w:color w:val="FFFFFF"/>
              </w:rPr>
              <w:t>REV REQ NO.</w:t>
            </w:r>
          </w:p>
          <w:p w:rsidR="00013AF9" w:rsidRDefault="00013AF9" w:rsidP="0059358D">
            <w:pPr>
              <w:rPr>
                <w:b/>
                <w:bCs/>
                <w:color w:val="FFFFFF"/>
              </w:rPr>
            </w:pPr>
          </w:p>
        </w:tc>
        <w:tc>
          <w:tcPr>
            <w:tcW w:w="6942"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13AF9" w:rsidRDefault="00013AF9" w:rsidP="0059358D">
            <w:pPr>
              <w:rPr>
                <w:b/>
                <w:bCs/>
                <w:color w:val="FFFFFF"/>
              </w:rPr>
            </w:pPr>
            <w:r>
              <w:rPr>
                <w:b/>
                <w:bCs/>
                <w:color w:val="FFFFFF"/>
              </w:rPr>
              <w:t>DESCRIPTION</w:t>
            </w:r>
          </w:p>
        </w:tc>
        <w:tc>
          <w:tcPr>
            <w:tcW w:w="98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13AF9" w:rsidRDefault="00013AF9" w:rsidP="0059358D">
            <w:pPr>
              <w:jc w:val="center"/>
              <w:rPr>
                <w:b/>
                <w:bCs/>
                <w:color w:val="FFFFFF"/>
              </w:rPr>
            </w:pPr>
            <w:r>
              <w:rPr>
                <w:b/>
                <w:bCs/>
                <w:color w:val="FFFFFF"/>
              </w:rPr>
              <w:t>URGENT</w:t>
            </w:r>
          </w:p>
        </w:tc>
        <w:tc>
          <w:tcPr>
            <w:tcW w:w="1167"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13AF9" w:rsidRDefault="00013AF9" w:rsidP="0059358D">
            <w:pPr>
              <w:rPr>
                <w:b/>
                <w:bCs/>
                <w:color w:val="FFFFFF"/>
              </w:rPr>
            </w:pPr>
            <w:r>
              <w:rPr>
                <w:b/>
                <w:bCs/>
                <w:color w:val="FFFFFF"/>
              </w:rPr>
              <w:t>MARKET RULES</w:t>
            </w:r>
          </w:p>
        </w:tc>
        <w:tc>
          <w:tcPr>
            <w:tcW w:w="2712"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13AF9" w:rsidRDefault="00013AF9" w:rsidP="0059358D">
            <w:pPr>
              <w:rPr>
                <w:b/>
                <w:bCs/>
                <w:color w:val="FFFFFF"/>
              </w:rPr>
            </w:pPr>
            <w:r>
              <w:rPr>
                <w:b/>
                <w:bCs/>
                <w:color w:val="FFFFFF"/>
              </w:rPr>
              <w:t>ERCOT Opinion</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177NOGRR</w:t>
            </w:r>
          </w:p>
        </w:tc>
        <w:tc>
          <w:tcPr>
            <w:tcW w:w="694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 xml:space="preserve">Related to NPRR857, Creation of Direct Current Tie Operator Market Participant Role.  </w:t>
            </w:r>
            <w:r>
              <w:rPr>
                <w:sz w:val="20"/>
                <w:szCs w:val="20"/>
              </w:rPr>
              <w:t>This Nodal Operating Guide Revision Request (NOGRR) revises the Nodal Operating Guide (NOG) to be consistent with NPRR857 language relating to Directive 1 of Public Utility Commission of Texas (PUCT) Docket No. 46304-3, Oversight Proceeding Regarding ERCOT Matters arising out of Docket No. 45624 (Application of the City of Garland to Amend A Certificate of Convenience and Necessity for the Rusk to Panola Double-Circuit 345-KV Transmission Line in Rusk and Panola Counties).  [ERCOT]</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Pr>
                <w:sz w:val="20"/>
                <w:szCs w:val="20"/>
              </w:rPr>
              <w:t>Butterfield</w:t>
            </w:r>
          </w:p>
        </w:tc>
        <w:tc>
          <w:tcPr>
            <w:tcW w:w="271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Pr>
                <w:sz w:val="20"/>
                <w:szCs w:val="20"/>
              </w:rPr>
              <w:t xml:space="preserve">ERCOT supports approval of NOGRR177 </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869NPRR</w:t>
            </w:r>
          </w:p>
        </w:tc>
        <w:tc>
          <w:tcPr>
            <w:tcW w:w="694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 xml:space="preserve">Clarification of Language Related to Generation Netting for ERCOT-Polled Settlement Meters.  </w:t>
            </w:r>
            <w:r>
              <w:rPr>
                <w:sz w:val="20"/>
                <w:szCs w:val="20"/>
              </w:rPr>
              <w:t>This Nodal Protocol Revision Request (NPRR) (1) clarifies the intent of Protocol Section 10.3.2.3, by explaining that netting occurs for All-Inclusive Generation Resources and Load at the transmission Point of Interconnection (POI); (2) clarifies that any Qualifying Facility (QF) may participate in the exemption specified in paragraph (2) of Section 10.3.2.3; and (3) deletes a reference to the now-expired system benefit fund charges.  [Reliant]</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Pr>
                <w:sz w:val="20"/>
                <w:szCs w:val="20"/>
              </w:rPr>
              <w:t>Butterfield</w:t>
            </w:r>
          </w:p>
        </w:tc>
        <w:tc>
          <w:tcPr>
            <w:tcW w:w="271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sidRPr="00C859C3">
              <w:rPr>
                <w:sz w:val="20"/>
                <w:szCs w:val="20"/>
              </w:rPr>
              <w:t xml:space="preserve">ERCOT supports </w:t>
            </w:r>
            <w:r w:rsidR="00A2483C">
              <w:rPr>
                <w:sz w:val="20"/>
                <w:szCs w:val="20"/>
              </w:rPr>
              <w:t xml:space="preserve">approval of </w:t>
            </w:r>
            <w:r w:rsidRPr="00C859C3">
              <w:rPr>
                <w:sz w:val="20"/>
                <w:szCs w:val="20"/>
              </w:rPr>
              <w:t>NPRR869 because it aligns the scope of the Qualifying Facility (QF) netting exemption in</w:t>
            </w:r>
            <w:r w:rsidR="00A2483C">
              <w:rPr>
                <w:sz w:val="20"/>
                <w:szCs w:val="20"/>
              </w:rPr>
              <w:t xml:space="preserve"> the</w:t>
            </w:r>
            <w:r w:rsidRPr="00C859C3">
              <w:rPr>
                <w:sz w:val="20"/>
                <w:szCs w:val="20"/>
              </w:rPr>
              <w:t xml:space="preserve"> Protocols with the FERC QF definition</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880NPRR</w:t>
            </w:r>
          </w:p>
        </w:tc>
        <w:tc>
          <w:tcPr>
            <w:tcW w:w="694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b/>
                <w:bCs/>
                <w:sz w:val="20"/>
                <w:szCs w:val="20"/>
              </w:rPr>
            </w:pPr>
            <w:r>
              <w:rPr>
                <w:b/>
                <w:bCs/>
                <w:sz w:val="20"/>
                <w:szCs w:val="20"/>
              </w:rPr>
              <w:t xml:space="preserve">Publish Real-Time Market Shift Factors for Private Use Network Settlement Points.  </w:t>
            </w:r>
            <w:r>
              <w:rPr>
                <w:sz w:val="20"/>
                <w:szCs w:val="20"/>
              </w:rPr>
              <w:t>This Nodal Protocol Revision Request (NPRR) requires ERCOT to publish Shift Factors for Private Use Network Settlement Points for the Real-Time Market (RTM).  [DC Energy]</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Pr>
                <w:sz w:val="20"/>
                <w:szCs w:val="20"/>
              </w:rPr>
              <w:t>Phillips</w:t>
            </w:r>
          </w:p>
        </w:tc>
        <w:tc>
          <w:tcPr>
            <w:tcW w:w="2712" w:type="dxa"/>
            <w:tcBorders>
              <w:top w:val="nil"/>
              <w:left w:val="nil"/>
              <w:bottom w:val="single" w:sz="8" w:space="0" w:color="auto"/>
              <w:right w:val="single" w:sz="8" w:space="0" w:color="auto"/>
            </w:tcBorders>
            <w:tcMar>
              <w:top w:w="0" w:type="dxa"/>
              <w:left w:w="108" w:type="dxa"/>
              <w:bottom w:w="0" w:type="dxa"/>
              <w:right w:w="108" w:type="dxa"/>
            </w:tcMar>
            <w:hideMark/>
          </w:tcPr>
          <w:p w:rsidR="00C859C3" w:rsidRDefault="00C859C3" w:rsidP="00C859C3">
            <w:pPr>
              <w:rPr>
                <w:sz w:val="20"/>
                <w:szCs w:val="20"/>
              </w:rPr>
            </w:pPr>
            <w:r>
              <w:rPr>
                <w:sz w:val="20"/>
                <w:szCs w:val="20"/>
              </w:rPr>
              <w:t>ERCOT supports approval of NPRR880 as it assists with achievement of the goal of additional data transparency and access</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t>883NPRR</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t xml:space="preserve">Adjustment to Settlement Equation for Ancillary Services Assignment. </w:t>
            </w:r>
            <w:r>
              <w:rPr>
                <w:sz w:val="20"/>
                <w:szCs w:val="20"/>
              </w:rPr>
              <w:t> This Nodal Protocol Revision Request (NPRR) removes the Real-Time Reliability Deployment Price Adder from the Real-Time Settlement Point Price (RTSPP) in order to avoid double payment under the Ancillary Services Assignment scenario.  [ERCOT]</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Butterfield</w:t>
            </w: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 xml:space="preserve">ERCOT supports approval of NPRR883 </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t>888NPRR</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t xml:space="preserve">4-Coincident Peak Adjustment Methodology.  </w:t>
            </w:r>
            <w:r>
              <w:rPr>
                <w:sz w:val="20"/>
                <w:szCs w:val="20"/>
              </w:rPr>
              <w:t>This Nodal Protocol Revision Request (NPRR) clarifies the 4-Coincident Peak (4-CP) adjustment methodology that was implemented in conjunction with NPRR830, Revision of 4-Coincident Peak Methodology.  [ERCOT]</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Butterfield</w:t>
            </w: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 xml:space="preserve">ERCOT supports approval of NPRR888 </w:t>
            </w:r>
          </w:p>
        </w:tc>
      </w:tr>
      <w:tr w:rsidR="00C859C3" w:rsidTr="00EE72D2">
        <w:trPr>
          <w:trHeight w:val="715"/>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lastRenderedPageBreak/>
              <w:t>889NPRR</w:t>
            </w:r>
          </w:p>
        </w:tc>
        <w:tc>
          <w:tcPr>
            <w:tcW w:w="694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b/>
                <w:bCs/>
                <w:sz w:val="20"/>
                <w:szCs w:val="20"/>
              </w:rPr>
            </w:pPr>
            <w:r>
              <w:rPr>
                <w:b/>
                <w:bCs/>
                <w:sz w:val="20"/>
                <w:szCs w:val="20"/>
              </w:rPr>
              <w:t xml:space="preserve">RTF-1 Replace Non-Modeled Generator with Settlement Only Generator.  </w:t>
            </w:r>
            <w:r>
              <w:rPr>
                <w:sz w:val="20"/>
                <w:szCs w:val="20"/>
              </w:rPr>
              <w:t>This NPRR accomplishes several objectives of the Resource Definition Task Force (RTF) undertaken at the direction of the Protocol Revision Subcommittee (PRS). Specifically, this NPRR replaces the current defined term, Non-Modeled Generator, with a new defined term, Settlement Only Generator (SOG), throughout the Protocols, and introduces new terms to clarify the distinction between transmission-connected Resources and distribution-connected Resources; reorganizes various terms for Resources that are misleading because they are actually attributes of Resources (rather than types of Resources) that describe the status, services provided, and/or technology utilized by Resources; and clarifies the implicit requirement that generation larger than 10 MW connected to the Distribution System will be required to register as a Generation Resource.  [ERCOT]</w:t>
            </w:r>
          </w:p>
        </w:tc>
        <w:tc>
          <w:tcPr>
            <w:tcW w:w="985"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jc w:val="center"/>
              <w:rPr>
                <w:sz w:val="20"/>
                <w:szCs w:val="20"/>
              </w:rPr>
            </w:pPr>
            <w:r>
              <w:rPr>
                <w:sz w:val="20"/>
                <w:szCs w:val="20"/>
              </w:rPr>
              <w:t>N</w:t>
            </w:r>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Phillips</w:t>
            </w: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C859C3" w:rsidRDefault="00C859C3" w:rsidP="00C859C3">
            <w:pPr>
              <w:rPr>
                <w:sz w:val="20"/>
                <w:szCs w:val="20"/>
              </w:rPr>
            </w:pPr>
            <w:r>
              <w:rPr>
                <w:sz w:val="20"/>
                <w:szCs w:val="20"/>
              </w:rPr>
              <w:t xml:space="preserve">ERCOT supports approval of NPRR889 </w:t>
            </w:r>
          </w:p>
        </w:tc>
      </w:tr>
    </w:tbl>
    <w:p w:rsidR="00277B0B" w:rsidRDefault="00277B0B" w:rsidP="00122614"/>
    <w:sectPr w:rsidR="00277B0B" w:rsidSect="000E52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13AF9"/>
    <w:rsid w:val="00081763"/>
    <w:rsid w:val="00081CF8"/>
    <w:rsid w:val="00085C68"/>
    <w:rsid w:val="000D407D"/>
    <w:rsid w:val="000E5254"/>
    <w:rsid w:val="00122614"/>
    <w:rsid w:val="00122FE5"/>
    <w:rsid w:val="00126220"/>
    <w:rsid w:val="001459C2"/>
    <w:rsid w:val="001679CC"/>
    <w:rsid w:val="001869C5"/>
    <w:rsid w:val="00212337"/>
    <w:rsid w:val="00261439"/>
    <w:rsid w:val="0026577A"/>
    <w:rsid w:val="00277B0B"/>
    <w:rsid w:val="002E0339"/>
    <w:rsid w:val="00330EE9"/>
    <w:rsid w:val="003465FA"/>
    <w:rsid w:val="00350E75"/>
    <w:rsid w:val="003A5C8F"/>
    <w:rsid w:val="004E1337"/>
    <w:rsid w:val="004E1797"/>
    <w:rsid w:val="004F7AC5"/>
    <w:rsid w:val="005153A0"/>
    <w:rsid w:val="00534B2C"/>
    <w:rsid w:val="00563265"/>
    <w:rsid w:val="00574CA2"/>
    <w:rsid w:val="00595DDA"/>
    <w:rsid w:val="0059657A"/>
    <w:rsid w:val="005C04D8"/>
    <w:rsid w:val="005C5781"/>
    <w:rsid w:val="005E2D72"/>
    <w:rsid w:val="00600D15"/>
    <w:rsid w:val="00627610"/>
    <w:rsid w:val="00636CD0"/>
    <w:rsid w:val="00644489"/>
    <w:rsid w:val="006F07ED"/>
    <w:rsid w:val="00701C9F"/>
    <w:rsid w:val="007166FD"/>
    <w:rsid w:val="0072638C"/>
    <w:rsid w:val="00741C40"/>
    <w:rsid w:val="007A3795"/>
    <w:rsid w:val="007B577D"/>
    <w:rsid w:val="007D0FE5"/>
    <w:rsid w:val="008570CC"/>
    <w:rsid w:val="008665BC"/>
    <w:rsid w:val="00884875"/>
    <w:rsid w:val="0089096A"/>
    <w:rsid w:val="008B717C"/>
    <w:rsid w:val="0090087E"/>
    <w:rsid w:val="00927F68"/>
    <w:rsid w:val="00940259"/>
    <w:rsid w:val="00975D55"/>
    <w:rsid w:val="00994232"/>
    <w:rsid w:val="009B6F06"/>
    <w:rsid w:val="00A05917"/>
    <w:rsid w:val="00A229C2"/>
    <w:rsid w:val="00A2483C"/>
    <w:rsid w:val="00A256C3"/>
    <w:rsid w:val="00A677CE"/>
    <w:rsid w:val="00A72CF7"/>
    <w:rsid w:val="00A865ED"/>
    <w:rsid w:val="00AB079F"/>
    <w:rsid w:val="00AB61FB"/>
    <w:rsid w:val="00B54E3C"/>
    <w:rsid w:val="00B56045"/>
    <w:rsid w:val="00B85C63"/>
    <w:rsid w:val="00B900D9"/>
    <w:rsid w:val="00BA08EE"/>
    <w:rsid w:val="00C4464C"/>
    <w:rsid w:val="00C859C3"/>
    <w:rsid w:val="00C96FA7"/>
    <w:rsid w:val="00CF5A32"/>
    <w:rsid w:val="00D07151"/>
    <w:rsid w:val="00D80F8C"/>
    <w:rsid w:val="00DA5381"/>
    <w:rsid w:val="00E3521A"/>
    <w:rsid w:val="00E36051"/>
    <w:rsid w:val="00E6398C"/>
    <w:rsid w:val="00E8538B"/>
    <w:rsid w:val="00EC28D4"/>
    <w:rsid w:val="00EE72D2"/>
    <w:rsid w:val="00F03C26"/>
    <w:rsid w:val="00F20886"/>
    <w:rsid w:val="00F22A8A"/>
    <w:rsid w:val="00F70F04"/>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7092">
      <w:bodyDiv w:val="1"/>
      <w:marLeft w:val="0"/>
      <w:marRight w:val="0"/>
      <w:marTop w:val="0"/>
      <w:marBottom w:val="0"/>
      <w:divBdr>
        <w:top w:val="none" w:sz="0" w:space="0" w:color="auto"/>
        <w:left w:val="none" w:sz="0" w:space="0" w:color="auto"/>
        <w:bottom w:val="none" w:sz="0" w:space="0" w:color="auto"/>
        <w:right w:val="none" w:sz="0" w:space="0" w:color="auto"/>
      </w:divBdr>
    </w:div>
    <w:div w:id="254092847">
      <w:bodyDiv w:val="1"/>
      <w:marLeft w:val="0"/>
      <w:marRight w:val="0"/>
      <w:marTop w:val="0"/>
      <w:marBottom w:val="0"/>
      <w:divBdr>
        <w:top w:val="none" w:sz="0" w:space="0" w:color="auto"/>
        <w:left w:val="none" w:sz="0" w:space="0" w:color="auto"/>
        <w:bottom w:val="none" w:sz="0" w:space="0" w:color="auto"/>
        <w:right w:val="none" w:sz="0" w:space="0" w:color="auto"/>
      </w:divBdr>
    </w:div>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530726539">
      <w:bodyDiv w:val="1"/>
      <w:marLeft w:val="0"/>
      <w:marRight w:val="0"/>
      <w:marTop w:val="0"/>
      <w:marBottom w:val="0"/>
      <w:divBdr>
        <w:top w:val="none" w:sz="0" w:space="0" w:color="auto"/>
        <w:left w:val="none" w:sz="0" w:space="0" w:color="auto"/>
        <w:bottom w:val="none" w:sz="0" w:space="0" w:color="auto"/>
        <w:right w:val="none" w:sz="0" w:space="0" w:color="auto"/>
      </w:divBdr>
    </w:div>
    <w:div w:id="653875054">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28325933">
      <w:bodyDiv w:val="1"/>
      <w:marLeft w:val="0"/>
      <w:marRight w:val="0"/>
      <w:marTop w:val="0"/>
      <w:marBottom w:val="0"/>
      <w:divBdr>
        <w:top w:val="none" w:sz="0" w:space="0" w:color="auto"/>
        <w:left w:val="none" w:sz="0" w:space="0" w:color="auto"/>
        <w:bottom w:val="none" w:sz="0" w:space="0" w:color="auto"/>
        <w:right w:val="none" w:sz="0" w:space="0" w:color="auto"/>
      </w:divBdr>
    </w:div>
    <w:div w:id="851644882">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084761164">
      <w:bodyDiv w:val="1"/>
      <w:marLeft w:val="0"/>
      <w:marRight w:val="0"/>
      <w:marTop w:val="0"/>
      <w:marBottom w:val="0"/>
      <w:divBdr>
        <w:top w:val="none" w:sz="0" w:space="0" w:color="auto"/>
        <w:left w:val="none" w:sz="0" w:space="0" w:color="auto"/>
        <w:bottom w:val="none" w:sz="0" w:space="0" w:color="auto"/>
        <w:right w:val="none" w:sz="0" w:space="0" w:color="auto"/>
      </w:divBdr>
    </w:div>
    <w:div w:id="1087073380">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43499893">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197278813">
      <w:bodyDiv w:val="1"/>
      <w:marLeft w:val="0"/>
      <w:marRight w:val="0"/>
      <w:marTop w:val="0"/>
      <w:marBottom w:val="0"/>
      <w:divBdr>
        <w:top w:val="none" w:sz="0" w:space="0" w:color="auto"/>
        <w:left w:val="none" w:sz="0" w:space="0" w:color="auto"/>
        <w:bottom w:val="none" w:sz="0" w:space="0" w:color="auto"/>
        <w:right w:val="none" w:sz="0" w:space="0" w:color="auto"/>
      </w:divBdr>
    </w:div>
    <w:div w:id="1200364075">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519660970">
      <w:bodyDiv w:val="1"/>
      <w:marLeft w:val="0"/>
      <w:marRight w:val="0"/>
      <w:marTop w:val="0"/>
      <w:marBottom w:val="0"/>
      <w:divBdr>
        <w:top w:val="none" w:sz="0" w:space="0" w:color="auto"/>
        <w:left w:val="none" w:sz="0" w:space="0" w:color="auto"/>
        <w:bottom w:val="none" w:sz="0" w:space="0" w:color="auto"/>
        <w:right w:val="none" w:sz="0" w:space="0" w:color="auto"/>
      </w:divBdr>
    </w:div>
    <w:div w:id="1548688936">
      <w:bodyDiv w:val="1"/>
      <w:marLeft w:val="0"/>
      <w:marRight w:val="0"/>
      <w:marTop w:val="0"/>
      <w:marBottom w:val="0"/>
      <w:divBdr>
        <w:top w:val="none" w:sz="0" w:space="0" w:color="auto"/>
        <w:left w:val="none" w:sz="0" w:space="0" w:color="auto"/>
        <w:bottom w:val="none" w:sz="0" w:space="0" w:color="auto"/>
        <w:right w:val="none" w:sz="0" w:space="0" w:color="auto"/>
      </w:divBdr>
    </w:div>
    <w:div w:id="1683631663">
      <w:bodyDiv w:val="1"/>
      <w:marLeft w:val="0"/>
      <w:marRight w:val="0"/>
      <w:marTop w:val="0"/>
      <w:marBottom w:val="0"/>
      <w:divBdr>
        <w:top w:val="none" w:sz="0" w:space="0" w:color="auto"/>
        <w:left w:val="none" w:sz="0" w:space="0" w:color="auto"/>
        <w:bottom w:val="none" w:sz="0" w:space="0" w:color="auto"/>
        <w:right w:val="none" w:sz="0" w:space="0" w:color="auto"/>
      </w:divBdr>
    </w:div>
    <w:div w:id="1721513835">
      <w:bodyDiv w:val="1"/>
      <w:marLeft w:val="0"/>
      <w:marRight w:val="0"/>
      <w:marTop w:val="0"/>
      <w:marBottom w:val="0"/>
      <w:divBdr>
        <w:top w:val="none" w:sz="0" w:space="0" w:color="auto"/>
        <w:left w:val="none" w:sz="0" w:space="0" w:color="auto"/>
        <w:bottom w:val="none" w:sz="0" w:space="0" w:color="auto"/>
        <w:right w:val="none" w:sz="0" w:space="0" w:color="auto"/>
      </w:divBdr>
    </w:div>
    <w:div w:id="1753887516">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 w:id="2135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2018-09-19T15:21:00Z</dcterms:created>
  <dcterms:modified xsi:type="dcterms:W3CDTF">2018-09-19T15:21:00Z</dcterms:modified>
</cp:coreProperties>
</file>