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AC" w:rsidRPr="009220AC" w:rsidRDefault="009220AC">
      <w:pPr>
        <w:rPr>
          <w:b/>
          <w:u w:val="single"/>
        </w:rPr>
      </w:pPr>
      <w:r w:rsidRPr="009220AC">
        <w:rPr>
          <w:b/>
          <w:u w:val="single"/>
        </w:rPr>
        <w:t>Questions regarding ERCOT’s marginal loss study</w:t>
      </w:r>
    </w:p>
    <w:p w:rsidR="009220AC" w:rsidRPr="0079683F" w:rsidRDefault="001714D7">
      <w:pPr>
        <w:rPr>
          <w:i/>
        </w:rPr>
      </w:pPr>
      <w:r>
        <w:rPr>
          <w:i/>
        </w:rPr>
        <w:t>1.</w:t>
      </w:r>
      <w:r w:rsidR="007B7B6E" w:rsidRPr="00161F6A">
        <w:rPr>
          <w:i/>
        </w:rPr>
        <w:t xml:space="preserve">  </w:t>
      </w:r>
      <w:r w:rsidR="00D631C2" w:rsidRPr="0079683F">
        <w:rPr>
          <w:i/>
        </w:rPr>
        <w:t>Please provide the “Annual Generator Revenue Changes by Load Zone” table as shown on page 3, as separated into two individual tables for thermal and renewable generators, as alluded to in paragraph 1 on page 4</w:t>
      </w:r>
      <w:r w:rsidR="009220AC" w:rsidRPr="0079683F">
        <w:rPr>
          <w:i/>
        </w:rPr>
        <w:t>.</w:t>
      </w:r>
      <w:r w:rsidRPr="0079683F">
        <w:rPr>
          <w:i/>
        </w:rPr>
        <w:t xml:space="preserve"> (</w:t>
      </w:r>
      <w:r w:rsidR="00B939E7" w:rsidRPr="0079683F">
        <w:rPr>
          <w:i/>
        </w:rPr>
        <w:t>Invenergy LLC</w:t>
      </w:r>
      <w:r w:rsidRPr="0079683F">
        <w:rPr>
          <w:i/>
        </w:rPr>
        <w:t>)</w:t>
      </w:r>
      <w:r w:rsidR="009220AC" w:rsidRPr="0079683F">
        <w:rPr>
          <w:i/>
        </w:rPr>
        <w:t xml:space="preserve">  </w:t>
      </w:r>
    </w:p>
    <w:p w:rsidR="00BB522C" w:rsidRPr="0079683F" w:rsidRDefault="007B7B6E">
      <w:r w:rsidRPr="0079683F">
        <w:t xml:space="preserve">A.  </w:t>
      </w:r>
      <w:r w:rsidR="00BB522C" w:rsidRPr="0079683F">
        <w:t xml:space="preserve">The </w:t>
      </w:r>
      <w:r w:rsidR="00B939E7" w:rsidRPr="0079683F">
        <w:t>annual generator revenue changes</w:t>
      </w:r>
      <w:r w:rsidR="00BB522C" w:rsidRPr="0079683F">
        <w:t xml:space="preserve"> reported by the model for the base case and two sensitivities are</w:t>
      </w:r>
      <w:r w:rsidR="00161F6A" w:rsidRPr="0079683F">
        <w:t xml:space="preserve"> provided in the following table</w:t>
      </w:r>
      <w:r w:rsidR="00B939E7" w:rsidRPr="0079683F">
        <w:t>s</w:t>
      </w:r>
      <w:r w:rsidR="000A4D5C" w:rsidRPr="0079683F">
        <w:t>,</w:t>
      </w:r>
      <w:r w:rsidR="00B939E7" w:rsidRPr="0079683F">
        <w:t xml:space="preserve"> for thermal and renewable generators</w:t>
      </w:r>
      <w:r w:rsidR="000A4D5C" w:rsidRPr="0079683F">
        <w:t>, respectively</w:t>
      </w:r>
      <w:r w:rsidR="00BB522C" w:rsidRPr="0079683F">
        <w:t>:</w:t>
      </w:r>
    </w:p>
    <w:p w:rsidR="00BB522C" w:rsidRPr="0079683F" w:rsidRDefault="00BB522C"/>
    <w:p w:rsidR="007B7B6E" w:rsidRPr="005A4BE6" w:rsidRDefault="00B939E7" w:rsidP="007B7B6E">
      <w:pPr>
        <w:widowControl w:val="0"/>
        <w:autoSpaceDE w:val="0"/>
        <w:autoSpaceDN w:val="0"/>
        <w:adjustRightInd w:val="0"/>
        <w:spacing w:line="360" w:lineRule="auto"/>
        <w:jc w:val="center"/>
        <w:rPr>
          <w:rFonts w:cstheme="minorHAnsi"/>
          <w:b/>
          <w:color w:val="000000"/>
        </w:rPr>
      </w:pPr>
      <w:r>
        <w:rPr>
          <w:rFonts w:cstheme="minorHAnsi"/>
          <w:b/>
          <w:color w:val="000000"/>
        </w:rPr>
        <w:t xml:space="preserve">Change in </w:t>
      </w:r>
      <w:r w:rsidR="00161F6A">
        <w:rPr>
          <w:rFonts w:cstheme="minorHAnsi"/>
          <w:b/>
          <w:color w:val="000000"/>
        </w:rPr>
        <w:t xml:space="preserve">Annual </w:t>
      </w:r>
      <w:r>
        <w:rPr>
          <w:rFonts w:cstheme="minorHAnsi"/>
          <w:b/>
          <w:color w:val="000000"/>
        </w:rPr>
        <w:t>Generator Revenue (Thermal, in $M)</w:t>
      </w:r>
    </w:p>
    <w:tbl>
      <w:tblPr>
        <w:tblStyle w:val="TableGrid"/>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545"/>
        <w:gridCol w:w="1872"/>
        <w:gridCol w:w="1872"/>
        <w:gridCol w:w="1872"/>
      </w:tblGrid>
      <w:tr w:rsidR="007B7B6E" w:rsidRPr="003E0171" w:rsidTr="000A4D5C">
        <w:trPr>
          <w:trHeight w:val="576"/>
          <w:jc w:val="center"/>
        </w:trPr>
        <w:tc>
          <w:tcPr>
            <w:tcW w:w="2545" w:type="dxa"/>
            <w:tcBorders>
              <w:top w:val="single" w:sz="4" w:space="0" w:color="1F497D" w:themeColor="text2"/>
              <w:left w:val="single" w:sz="4" w:space="0" w:color="1F497D" w:themeColor="text2"/>
              <w:bottom w:val="nil"/>
              <w:right w:val="nil"/>
            </w:tcBorders>
            <w:shd w:val="solid" w:color="003865" w:fill="auto"/>
            <w:vAlign w:val="center"/>
          </w:tcPr>
          <w:p w:rsidR="007B7B6E" w:rsidRPr="00BB2B40" w:rsidRDefault="007B7B6E" w:rsidP="007B7B6E">
            <w:pPr>
              <w:rPr>
                <w:rFonts w:asciiTheme="minorHAnsi" w:hAnsiTheme="minorHAnsi" w:cstheme="minorHAnsi"/>
                <w:b/>
                <w:szCs w:val="22"/>
              </w:rPr>
            </w:pPr>
          </w:p>
        </w:tc>
        <w:tc>
          <w:tcPr>
            <w:tcW w:w="1872" w:type="dxa"/>
            <w:tcBorders>
              <w:top w:val="single" w:sz="4" w:space="0" w:color="1F497D" w:themeColor="text2"/>
              <w:left w:val="nil"/>
              <w:bottom w:val="nil"/>
              <w:right w:val="nil"/>
            </w:tcBorders>
            <w:shd w:val="solid" w:color="003865" w:fill="auto"/>
            <w:vAlign w:val="center"/>
          </w:tcPr>
          <w:p w:rsidR="007B7B6E" w:rsidRPr="00BB2B40" w:rsidRDefault="007B7B6E" w:rsidP="007B7B6E">
            <w:pPr>
              <w:jc w:val="center"/>
              <w:rPr>
                <w:rFonts w:asciiTheme="minorHAnsi" w:hAnsiTheme="minorHAnsi" w:cstheme="minorHAnsi"/>
                <w:b/>
                <w:szCs w:val="22"/>
              </w:rPr>
            </w:pPr>
            <w:r w:rsidRPr="00BB2B40">
              <w:rPr>
                <w:rFonts w:asciiTheme="minorHAnsi" w:hAnsiTheme="minorHAnsi" w:cstheme="minorHAnsi"/>
                <w:b/>
                <w:szCs w:val="22"/>
              </w:rPr>
              <w:t xml:space="preserve">Low Gas </w:t>
            </w:r>
            <w:r>
              <w:rPr>
                <w:rFonts w:asciiTheme="minorHAnsi" w:hAnsiTheme="minorHAnsi" w:cstheme="minorHAnsi"/>
                <w:b/>
                <w:szCs w:val="22"/>
              </w:rPr>
              <w:br/>
            </w:r>
            <w:r w:rsidRPr="00BB2B40">
              <w:rPr>
                <w:rFonts w:asciiTheme="minorHAnsi" w:hAnsiTheme="minorHAnsi" w:cstheme="minorHAnsi"/>
                <w:b/>
                <w:szCs w:val="22"/>
              </w:rPr>
              <w:t>Price Case</w:t>
            </w:r>
          </w:p>
        </w:tc>
        <w:tc>
          <w:tcPr>
            <w:tcW w:w="1872" w:type="dxa"/>
            <w:tcBorders>
              <w:top w:val="single" w:sz="4" w:space="0" w:color="1F497D" w:themeColor="text2"/>
              <w:left w:val="nil"/>
              <w:bottom w:val="nil"/>
              <w:right w:val="nil"/>
            </w:tcBorders>
            <w:shd w:val="solid" w:color="003865" w:fill="auto"/>
            <w:vAlign w:val="center"/>
          </w:tcPr>
          <w:p w:rsidR="007B7B6E" w:rsidRPr="00BB2B40" w:rsidRDefault="007B7B6E" w:rsidP="007B7B6E">
            <w:pPr>
              <w:jc w:val="center"/>
              <w:rPr>
                <w:rFonts w:asciiTheme="minorHAnsi" w:hAnsiTheme="minorHAnsi" w:cstheme="minorHAnsi"/>
                <w:b/>
                <w:szCs w:val="22"/>
              </w:rPr>
            </w:pPr>
            <w:r w:rsidRPr="00BB2B40">
              <w:rPr>
                <w:rFonts w:asciiTheme="minorHAnsi" w:hAnsiTheme="minorHAnsi" w:cstheme="minorHAnsi"/>
                <w:b/>
                <w:szCs w:val="22"/>
              </w:rPr>
              <w:t>Base Case</w:t>
            </w:r>
          </w:p>
        </w:tc>
        <w:tc>
          <w:tcPr>
            <w:tcW w:w="1872" w:type="dxa"/>
            <w:tcBorders>
              <w:top w:val="single" w:sz="4" w:space="0" w:color="1F497D" w:themeColor="text2"/>
              <w:left w:val="nil"/>
              <w:bottom w:val="nil"/>
              <w:right w:val="single" w:sz="4" w:space="0" w:color="1F497D" w:themeColor="text2"/>
            </w:tcBorders>
            <w:shd w:val="solid" w:color="003865" w:fill="auto"/>
            <w:vAlign w:val="center"/>
          </w:tcPr>
          <w:p w:rsidR="007B7B6E" w:rsidRPr="00BB2B40" w:rsidRDefault="007B7B6E" w:rsidP="007B7B6E">
            <w:pPr>
              <w:jc w:val="center"/>
              <w:rPr>
                <w:rFonts w:asciiTheme="minorHAnsi" w:hAnsiTheme="minorHAnsi" w:cstheme="minorHAnsi"/>
                <w:b/>
                <w:szCs w:val="22"/>
              </w:rPr>
            </w:pPr>
            <w:r w:rsidRPr="00BB2B40">
              <w:rPr>
                <w:rFonts w:asciiTheme="minorHAnsi" w:hAnsiTheme="minorHAnsi" w:cstheme="minorHAnsi"/>
                <w:b/>
                <w:szCs w:val="22"/>
              </w:rPr>
              <w:t xml:space="preserve">High Gas </w:t>
            </w:r>
            <w:r>
              <w:rPr>
                <w:rFonts w:asciiTheme="minorHAnsi" w:hAnsiTheme="minorHAnsi" w:cstheme="minorHAnsi"/>
                <w:b/>
                <w:szCs w:val="22"/>
              </w:rPr>
              <w:br/>
            </w:r>
            <w:r w:rsidRPr="00BB2B40">
              <w:rPr>
                <w:rFonts w:asciiTheme="minorHAnsi" w:hAnsiTheme="minorHAnsi" w:cstheme="minorHAnsi"/>
                <w:b/>
                <w:szCs w:val="22"/>
              </w:rPr>
              <w:t>Price Case</w:t>
            </w:r>
          </w:p>
        </w:tc>
      </w:tr>
      <w:tr w:rsidR="007B7B6E" w:rsidRPr="003E0171" w:rsidTr="000A4D5C">
        <w:trPr>
          <w:trHeight w:val="576"/>
          <w:jc w:val="center"/>
        </w:trPr>
        <w:tc>
          <w:tcPr>
            <w:tcW w:w="2545" w:type="dxa"/>
            <w:tcBorders>
              <w:top w:val="nil"/>
              <w:left w:val="nil"/>
              <w:bottom w:val="single" w:sz="4" w:space="0" w:color="1F497D" w:themeColor="text2"/>
              <w:right w:val="nil"/>
            </w:tcBorders>
            <w:vAlign w:val="center"/>
          </w:tcPr>
          <w:p w:rsidR="007B7B6E" w:rsidRPr="00BB2B40" w:rsidRDefault="00B939E7" w:rsidP="007B7B6E">
            <w:pPr>
              <w:rPr>
                <w:rFonts w:asciiTheme="minorHAnsi" w:hAnsiTheme="minorHAnsi" w:cstheme="minorHAnsi"/>
                <w:szCs w:val="22"/>
              </w:rPr>
            </w:pPr>
            <w:r>
              <w:rPr>
                <w:rFonts w:asciiTheme="minorHAnsi" w:hAnsiTheme="minorHAnsi" w:cstheme="minorHAnsi"/>
                <w:szCs w:val="22"/>
              </w:rPr>
              <w:t>Houston Zone</w:t>
            </w:r>
          </w:p>
        </w:tc>
        <w:tc>
          <w:tcPr>
            <w:tcW w:w="1872" w:type="dxa"/>
            <w:tcBorders>
              <w:top w:val="nil"/>
              <w:left w:val="nil"/>
              <w:bottom w:val="single" w:sz="4" w:space="0" w:color="1F497D" w:themeColor="text2"/>
              <w:right w:val="nil"/>
            </w:tcBorders>
            <w:vAlign w:val="center"/>
          </w:tcPr>
          <w:p w:rsidR="007B7B6E" w:rsidRPr="00BB2B40" w:rsidRDefault="00B939E7" w:rsidP="007B7B6E">
            <w:pPr>
              <w:jc w:val="center"/>
              <w:rPr>
                <w:rFonts w:asciiTheme="minorHAnsi" w:hAnsiTheme="minorHAnsi" w:cstheme="minorHAnsi"/>
                <w:szCs w:val="22"/>
              </w:rPr>
            </w:pPr>
            <w:r>
              <w:rPr>
                <w:rFonts w:asciiTheme="minorHAnsi" w:hAnsiTheme="minorHAnsi" w:cstheme="minorHAnsi"/>
                <w:szCs w:val="22"/>
              </w:rPr>
              <w:t>171.9</w:t>
            </w:r>
          </w:p>
        </w:tc>
        <w:tc>
          <w:tcPr>
            <w:tcW w:w="1872" w:type="dxa"/>
            <w:tcBorders>
              <w:top w:val="nil"/>
              <w:left w:val="nil"/>
              <w:bottom w:val="single" w:sz="4" w:space="0" w:color="1F497D" w:themeColor="text2"/>
              <w:right w:val="nil"/>
            </w:tcBorders>
            <w:vAlign w:val="center"/>
          </w:tcPr>
          <w:p w:rsidR="007B7B6E" w:rsidRPr="00BB2B40" w:rsidRDefault="00B939E7" w:rsidP="007B7B6E">
            <w:pPr>
              <w:jc w:val="center"/>
              <w:rPr>
                <w:rFonts w:asciiTheme="minorHAnsi" w:hAnsiTheme="minorHAnsi" w:cstheme="minorHAnsi"/>
                <w:szCs w:val="22"/>
              </w:rPr>
            </w:pPr>
            <w:r>
              <w:rPr>
                <w:rFonts w:asciiTheme="minorHAnsi" w:hAnsiTheme="minorHAnsi" w:cstheme="minorHAnsi"/>
                <w:szCs w:val="22"/>
              </w:rPr>
              <w:t>216.3</w:t>
            </w:r>
          </w:p>
        </w:tc>
        <w:tc>
          <w:tcPr>
            <w:tcW w:w="1872" w:type="dxa"/>
            <w:tcBorders>
              <w:top w:val="nil"/>
              <w:left w:val="nil"/>
              <w:bottom w:val="single" w:sz="4" w:space="0" w:color="1F497D" w:themeColor="text2"/>
              <w:right w:val="nil"/>
            </w:tcBorders>
            <w:vAlign w:val="center"/>
          </w:tcPr>
          <w:p w:rsidR="007B7B6E" w:rsidRPr="00BB2B40" w:rsidRDefault="000A4D5C" w:rsidP="00B939E7">
            <w:pPr>
              <w:jc w:val="center"/>
              <w:rPr>
                <w:rFonts w:asciiTheme="minorHAnsi" w:hAnsiTheme="minorHAnsi" w:cstheme="minorHAnsi"/>
                <w:szCs w:val="22"/>
              </w:rPr>
            </w:pPr>
            <w:r>
              <w:rPr>
                <w:rFonts w:asciiTheme="minorHAnsi" w:hAnsiTheme="minorHAnsi" w:cstheme="minorHAnsi"/>
                <w:szCs w:val="22"/>
              </w:rPr>
              <w:t>257.6</w:t>
            </w:r>
          </w:p>
        </w:tc>
      </w:tr>
      <w:tr w:rsidR="000A4D5C" w:rsidRPr="000A4D5C" w:rsidTr="000A4D5C">
        <w:trPr>
          <w:trHeight w:val="576"/>
          <w:jc w:val="center"/>
        </w:trPr>
        <w:tc>
          <w:tcPr>
            <w:tcW w:w="2545" w:type="dxa"/>
            <w:tcBorders>
              <w:top w:val="single" w:sz="4" w:space="0" w:color="1F497D" w:themeColor="text2"/>
              <w:left w:val="nil"/>
              <w:bottom w:val="single" w:sz="4" w:space="0" w:color="1F497D" w:themeColor="text2"/>
              <w:right w:val="nil"/>
            </w:tcBorders>
            <w:vAlign w:val="center"/>
          </w:tcPr>
          <w:p w:rsidR="000A4D5C" w:rsidRPr="000A4D5C" w:rsidRDefault="000A4D5C" w:rsidP="007B7B6E">
            <w:pPr>
              <w:rPr>
                <w:rFonts w:asciiTheme="minorHAnsi" w:hAnsiTheme="minorHAnsi" w:cstheme="minorHAnsi"/>
                <w:szCs w:val="22"/>
              </w:rPr>
            </w:pPr>
            <w:r w:rsidRPr="000A4D5C">
              <w:rPr>
                <w:rFonts w:asciiTheme="minorHAnsi" w:hAnsiTheme="minorHAnsi" w:cstheme="minorHAnsi"/>
                <w:szCs w:val="22"/>
              </w:rPr>
              <w:t xml:space="preserve">North </w:t>
            </w:r>
            <w:r>
              <w:rPr>
                <w:rFonts w:asciiTheme="minorHAnsi" w:hAnsiTheme="minorHAnsi" w:cstheme="minorHAnsi"/>
                <w:szCs w:val="22"/>
              </w:rPr>
              <w:t>Zone</w:t>
            </w:r>
          </w:p>
        </w:tc>
        <w:tc>
          <w:tcPr>
            <w:tcW w:w="1872" w:type="dxa"/>
            <w:tcBorders>
              <w:top w:val="single" w:sz="4" w:space="0" w:color="1F497D" w:themeColor="text2"/>
              <w:left w:val="nil"/>
              <w:bottom w:val="single" w:sz="4" w:space="0" w:color="1F497D" w:themeColor="text2"/>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-218.8</w:t>
            </w:r>
          </w:p>
        </w:tc>
        <w:tc>
          <w:tcPr>
            <w:tcW w:w="1872" w:type="dxa"/>
            <w:tcBorders>
              <w:top w:val="single" w:sz="4" w:space="0" w:color="1F497D" w:themeColor="text2"/>
              <w:left w:val="nil"/>
              <w:bottom w:val="single" w:sz="4" w:space="0" w:color="1F497D" w:themeColor="text2"/>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-328.3</w:t>
            </w:r>
          </w:p>
        </w:tc>
        <w:tc>
          <w:tcPr>
            <w:tcW w:w="1872" w:type="dxa"/>
            <w:tcBorders>
              <w:top w:val="single" w:sz="4" w:space="0" w:color="1F497D" w:themeColor="text2"/>
              <w:left w:val="nil"/>
              <w:bottom w:val="single" w:sz="4" w:space="0" w:color="1F497D" w:themeColor="text2"/>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-412.2</w:t>
            </w:r>
          </w:p>
        </w:tc>
      </w:tr>
      <w:tr w:rsidR="000A4D5C" w:rsidRPr="000A4D5C" w:rsidTr="000A4D5C">
        <w:trPr>
          <w:trHeight w:val="576"/>
          <w:jc w:val="center"/>
        </w:trPr>
        <w:tc>
          <w:tcPr>
            <w:tcW w:w="2545" w:type="dxa"/>
            <w:tcBorders>
              <w:top w:val="single" w:sz="4" w:space="0" w:color="1F497D" w:themeColor="text2"/>
              <w:left w:val="nil"/>
              <w:bottom w:val="single" w:sz="4" w:space="0" w:color="1F497D" w:themeColor="text2"/>
              <w:right w:val="nil"/>
            </w:tcBorders>
            <w:vAlign w:val="center"/>
          </w:tcPr>
          <w:p w:rsidR="000A4D5C" w:rsidRPr="000A4D5C" w:rsidRDefault="000A4D5C" w:rsidP="007B7B6E">
            <w:pPr>
              <w:rPr>
                <w:rFonts w:asciiTheme="minorHAnsi" w:hAnsiTheme="minorHAnsi" w:cstheme="minorHAnsi"/>
                <w:szCs w:val="22"/>
              </w:rPr>
            </w:pPr>
            <w:r w:rsidRPr="000A4D5C">
              <w:rPr>
                <w:rFonts w:asciiTheme="minorHAnsi" w:hAnsiTheme="minorHAnsi" w:cstheme="minorHAnsi"/>
                <w:szCs w:val="22"/>
              </w:rPr>
              <w:t>South Zone</w:t>
            </w:r>
          </w:p>
        </w:tc>
        <w:tc>
          <w:tcPr>
            <w:tcW w:w="1872" w:type="dxa"/>
            <w:tcBorders>
              <w:top w:val="single" w:sz="4" w:space="0" w:color="1F497D" w:themeColor="text2"/>
              <w:left w:val="nil"/>
              <w:bottom w:val="single" w:sz="4" w:space="0" w:color="1F497D" w:themeColor="text2"/>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52.5</w:t>
            </w:r>
          </w:p>
        </w:tc>
        <w:tc>
          <w:tcPr>
            <w:tcW w:w="1872" w:type="dxa"/>
            <w:tcBorders>
              <w:top w:val="single" w:sz="4" w:space="0" w:color="1F497D" w:themeColor="text2"/>
              <w:left w:val="nil"/>
              <w:bottom w:val="single" w:sz="4" w:space="0" w:color="1F497D" w:themeColor="text2"/>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100.3</w:t>
            </w:r>
          </w:p>
        </w:tc>
        <w:tc>
          <w:tcPr>
            <w:tcW w:w="1872" w:type="dxa"/>
            <w:tcBorders>
              <w:top w:val="single" w:sz="4" w:space="0" w:color="1F497D" w:themeColor="text2"/>
              <w:left w:val="nil"/>
              <w:bottom w:val="single" w:sz="4" w:space="0" w:color="1F497D" w:themeColor="text2"/>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141.9</w:t>
            </w:r>
          </w:p>
        </w:tc>
      </w:tr>
      <w:tr w:rsidR="000A4D5C" w:rsidRPr="000A4D5C" w:rsidTr="000A4D5C">
        <w:trPr>
          <w:trHeight w:val="576"/>
          <w:jc w:val="center"/>
        </w:trPr>
        <w:tc>
          <w:tcPr>
            <w:tcW w:w="2545" w:type="dxa"/>
            <w:tcBorders>
              <w:top w:val="single" w:sz="4" w:space="0" w:color="1F497D" w:themeColor="text2"/>
              <w:left w:val="nil"/>
              <w:bottom w:val="nil"/>
              <w:right w:val="nil"/>
            </w:tcBorders>
            <w:vAlign w:val="center"/>
          </w:tcPr>
          <w:p w:rsidR="000A4D5C" w:rsidRPr="000A4D5C" w:rsidRDefault="000A4D5C" w:rsidP="007B7B6E">
            <w:pPr>
              <w:rPr>
                <w:rFonts w:asciiTheme="minorHAnsi" w:hAnsiTheme="minorHAnsi" w:cstheme="minorHAnsi"/>
                <w:szCs w:val="22"/>
              </w:rPr>
            </w:pPr>
            <w:r w:rsidRPr="000A4D5C">
              <w:rPr>
                <w:rFonts w:asciiTheme="minorHAnsi" w:hAnsiTheme="minorHAnsi" w:cstheme="minorHAnsi"/>
                <w:szCs w:val="22"/>
              </w:rPr>
              <w:t>West Zone</w:t>
            </w:r>
          </w:p>
        </w:tc>
        <w:tc>
          <w:tcPr>
            <w:tcW w:w="1872" w:type="dxa"/>
            <w:tcBorders>
              <w:top w:val="single" w:sz="4" w:space="0" w:color="1F497D" w:themeColor="text2"/>
              <w:left w:val="nil"/>
              <w:bottom w:val="nil"/>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-36.8</w:t>
            </w:r>
          </w:p>
        </w:tc>
        <w:tc>
          <w:tcPr>
            <w:tcW w:w="1872" w:type="dxa"/>
            <w:tcBorders>
              <w:top w:val="single" w:sz="4" w:space="0" w:color="1F497D" w:themeColor="text2"/>
              <w:left w:val="nil"/>
              <w:bottom w:val="nil"/>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-47.8</w:t>
            </w:r>
          </w:p>
        </w:tc>
        <w:tc>
          <w:tcPr>
            <w:tcW w:w="1872" w:type="dxa"/>
            <w:tcBorders>
              <w:top w:val="single" w:sz="4" w:space="0" w:color="1F497D" w:themeColor="text2"/>
              <w:left w:val="nil"/>
              <w:bottom w:val="nil"/>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-56.5</w:t>
            </w:r>
          </w:p>
        </w:tc>
      </w:tr>
    </w:tbl>
    <w:p w:rsidR="00BB522C" w:rsidRPr="0079683F" w:rsidRDefault="00BB522C"/>
    <w:p w:rsidR="000A4D5C" w:rsidRPr="005A4BE6" w:rsidRDefault="000A4D5C" w:rsidP="000A4D5C">
      <w:pPr>
        <w:widowControl w:val="0"/>
        <w:autoSpaceDE w:val="0"/>
        <w:autoSpaceDN w:val="0"/>
        <w:adjustRightInd w:val="0"/>
        <w:spacing w:line="360" w:lineRule="auto"/>
        <w:jc w:val="center"/>
        <w:rPr>
          <w:rFonts w:cstheme="minorHAnsi"/>
          <w:b/>
          <w:color w:val="000000"/>
        </w:rPr>
      </w:pPr>
      <w:r>
        <w:rPr>
          <w:rFonts w:cstheme="minorHAnsi"/>
          <w:b/>
          <w:color w:val="000000"/>
        </w:rPr>
        <w:t>Change in Annual Generator Revenue (Renewable, in $M)</w:t>
      </w:r>
    </w:p>
    <w:tbl>
      <w:tblPr>
        <w:tblStyle w:val="TableGrid"/>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545"/>
        <w:gridCol w:w="1872"/>
        <w:gridCol w:w="1872"/>
        <w:gridCol w:w="1872"/>
      </w:tblGrid>
      <w:tr w:rsidR="000A4D5C" w:rsidRPr="003E0171" w:rsidTr="000A4D5C">
        <w:trPr>
          <w:trHeight w:val="576"/>
          <w:jc w:val="center"/>
        </w:trPr>
        <w:tc>
          <w:tcPr>
            <w:tcW w:w="2545" w:type="dxa"/>
            <w:tcBorders>
              <w:top w:val="single" w:sz="4" w:space="0" w:color="1F497D" w:themeColor="text2"/>
              <w:left w:val="single" w:sz="4" w:space="0" w:color="1F497D" w:themeColor="text2"/>
              <w:bottom w:val="nil"/>
              <w:right w:val="nil"/>
            </w:tcBorders>
            <w:shd w:val="solid" w:color="003865" w:fill="auto"/>
            <w:vAlign w:val="center"/>
          </w:tcPr>
          <w:p w:rsidR="000A4D5C" w:rsidRPr="00BB2B40" w:rsidRDefault="000A4D5C" w:rsidP="000A4D5C">
            <w:pPr>
              <w:rPr>
                <w:rFonts w:asciiTheme="minorHAnsi" w:hAnsiTheme="minorHAnsi" w:cstheme="minorHAnsi"/>
                <w:b/>
                <w:szCs w:val="22"/>
              </w:rPr>
            </w:pPr>
          </w:p>
        </w:tc>
        <w:tc>
          <w:tcPr>
            <w:tcW w:w="1872" w:type="dxa"/>
            <w:tcBorders>
              <w:top w:val="single" w:sz="4" w:space="0" w:color="1F497D" w:themeColor="text2"/>
              <w:left w:val="nil"/>
              <w:bottom w:val="nil"/>
              <w:right w:val="nil"/>
            </w:tcBorders>
            <w:shd w:val="solid" w:color="003865" w:fill="auto"/>
            <w:vAlign w:val="center"/>
          </w:tcPr>
          <w:p w:rsidR="000A4D5C" w:rsidRPr="00BB2B40" w:rsidRDefault="000A4D5C" w:rsidP="000A4D5C">
            <w:pPr>
              <w:jc w:val="center"/>
              <w:rPr>
                <w:rFonts w:asciiTheme="minorHAnsi" w:hAnsiTheme="minorHAnsi" w:cstheme="minorHAnsi"/>
                <w:b/>
                <w:szCs w:val="22"/>
              </w:rPr>
            </w:pPr>
            <w:r w:rsidRPr="00BB2B40">
              <w:rPr>
                <w:rFonts w:asciiTheme="minorHAnsi" w:hAnsiTheme="minorHAnsi" w:cstheme="minorHAnsi"/>
                <w:b/>
                <w:szCs w:val="22"/>
              </w:rPr>
              <w:t xml:space="preserve">Low Gas </w:t>
            </w:r>
            <w:r>
              <w:rPr>
                <w:rFonts w:asciiTheme="minorHAnsi" w:hAnsiTheme="minorHAnsi" w:cstheme="minorHAnsi"/>
                <w:b/>
                <w:szCs w:val="22"/>
              </w:rPr>
              <w:br/>
            </w:r>
            <w:r w:rsidRPr="00BB2B40">
              <w:rPr>
                <w:rFonts w:asciiTheme="minorHAnsi" w:hAnsiTheme="minorHAnsi" w:cstheme="minorHAnsi"/>
                <w:b/>
                <w:szCs w:val="22"/>
              </w:rPr>
              <w:t>Price Case</w:t>
            </w:r>
          </w:p>
        </w:tc>
        <w:tc>
          <w:tcPr>
            <w:tcW w:w="1872" w:type="dxa"/>
            <w:tcBorders>
              <w:top w:val="single" w:sz="4" w:space="0" w:color="1F497D" w:themeColor="text2"/>
              <w:left w:val="nil"/>
              <w:bottom w:val="nil"/>
              <w:right w:val="nil"/>
            </w:tcBorders>
            <w:shd w:val="solid" w:color="003865" w:fill="auto"/>
            <w:vAlign w:val="center"/>
          </w:tcPr>
          <w:p w:rsidR="000A4D5C" w:rsidRPr="00BB2B40" w:rsidRDefault="000A4D5C" w:rsidP="000A4D5C">
            <w:pPr>
              <w:jc w:val="center"/>
              <w:rPr>
                <w:rFonts w:asciiTheme="minorHAnsi" w:hAnsiTheme="minorHAnsi" w:cstheme="minorHAnsi"/>
                <w:b/>
                <w:szCs w:val="22"/>
              </w:rPr>
            </w:pPr>
            <w:r w:rsidRPr="00BB2B40">
              <w:rPr>
                <w:rFonts w:asciiTheme="minorHAnsi" w:hAnsiTheme="minorHAnsi" w:cstheme="minorHAnsi"/>
                <w:b/>
                <w:szCs w:val="22"/>
              </w:rPr>
              <w:t>Base Case</w:t>
            </w:r>
          </w:p>
        </w:tc>
        <w:tc>
          <w:tcPr>
            <w:tcW w:w="1872" w:type="dxa"/>
            <w:tcBorders>
              <w:top w:val="single" w:sz="4" w:space="0" w:color="1F497D" w:themeColor="text2"/>
              <w:left w:val="nil"/>
              <w:bottom w:val="nil"/>
              <w:right w:val="single" w:sz="4" w:space="0" w:color="1F497D" w:themeColor="text2"/>
            </w:tcBorders>
            <w:shd w:val="solid" w:color="003865" w:fill="auto"/>
            <w:vAlign w:val="center"/>
          </w:tcPr>
          <w:p w:rsidR="000A4D5C" w:rsidRPr="00BB2B40" w:rsidRDefault="000A4D5C" w:rsidP="000A4D5C">
            <w:pPr>
              <w:jc w:val="center"/>
              <w:rPr>
                <w:rFonts w:asciiTheme="minorHAnsi" w:hAnsiTheme="minorHAnsi" w:cstheme="minorHAnsi"/>
                <w:b/>
                <w:szCs w:val="22"/>
              </w:rPr>
            </w:pPr>
            <w:r w:rsidRPr="00BB2B40">
              <w:rPr>
                <w:rFonts w:asciiTheme="minorHAnsi" w:hAnsiTheme="minorHAnsi" w:cstheme="minorHAnsi"/>
                <w:b/>
                <w:szCs w:val="22"/>
              </w:rPr>
              <w:t xml:space="preserve">High Gas </w:t>
            </w:r>
            <w:r>
              <w:rPr>
                <w:rFonts w:asciiTheme="minorHAnsi" w:hAnsiTheme="minorHAnsi" w:cstheme="minorHAnsi"/>
                <w:b/>
                <w:szCs w:val="22"/>
              </w:rPr>
              <w:br/>
            </w:r>
            <w:r w:rsidRPr="00BB2B40">
              <w:rPr>
                <w:rFonts w:asciiTheme="minorHAnsi" w:hAnsiTheme="minorHAnsi" w:cstheme="minorHAnsi"/>
                <w:b/>
                <w:szCs w:val="22"/>
              </w:rPr>
              <w:t>Price Case</w:t>
            </w:r>
          </w:p>
        </w:tc>
      </w:tr>
      <w:tr w:rsidR="000A4D5C" w:rsidRPr="000A4D5C" w:rsidTr="000A4D5C">
        <w:trPr>
          <w:trHeight w:val="576"/>
          <w:jc w:val="center"/>
        </w:trPr>
        <w:tc>
          <w:tcPr>
            <w:tcW w:w="2545" w:type="dxa"/>
            <w:tcBorders>
              <w:top w:val="single" w:sz="4" w:space="0" w:color="1F497D" w:themeColor="text2"/>
              <w:left w:val="nil"/>
              <w:bottom w:val="single" w:sz="4" w:space="0" w:color="1F497D" w:themeColor="text2"/>
              <w:right w:val="nil"/>
            </w:tcBorders>
            <w:vAlign w:val="center"/>
          </w:tcPr>
          <w:p w:rsidR="000A4D5C" w:rsidRPr="000A4D5C" w:rsidRDefault="000A4D5C" w:rsidP="000A4D5C">
            <w:pPr>
              <w:rPr>
                <w:rFonts w:asciiTheme="minorHAnsi" w:hAnsiTheme="minorHAnsi" w:cstheme="minorHAnsi"/>
                <w:szCs w:val="22"/>
              </w:rPr>
            </w:pPr>
            <w:r w:rsidRPr="000A4D5C">
              <w:rPr>
                <w:rFonts w:asciiTheme="minorHAnsi" w:hAnsiTheme="minorHAnsi" w:cstheme="minorHAnsi"/>
                <w:szCs w:val="22"/>
              </w:rPr>
              <w:t xml:space="preserve">North </w:t>
            </w:r>
            <w:r>
              <w:rPr>
                <w:rFonts w:asciiTheme="minorHAnsi" w:hAnsiTheme="minorHAnsi" w:cstheme="minorHAnsi"/>
                <w:szCs w:val="22"/>
              </w:rPr>
              <w:t>Zone</w:t>
            </w:r>
          </w:p>
        </w:tc>
        <w:tc>
          <w:tcPr>
            <w:tcW w:w="1872" w:type="dxa"/>
            <w:tcBorders>
              <w:top w:val="single" w:sz="4" w:space="0" w:color="1F497D" w:themeColor="text2"/>
              <w:left w:val="nil"/>
              <w:bottom w:val="single" w:sz="4" w:space="0" w:color="1F497D" w:themeColor="text2"/>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-4.2</w:t>
            </w:r>
          </w:p>
        </w:tc>
        <w:tc>
          <w:tcPr>
            <w:tcW w:w="1872" w:type="dxa"/>
            <w:tcBorders>
              <w:top w:val="single" w:sz="4" w:space="0" w:color="1F497D" w:themeColor="text2"/>
              <w:left w:val="nil"/>
              <w:bottom w:val="single" w:sz="4" w:space="0" w:color="1F497D" w:themeColor="text2"/>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-4.7</w:t>
            </w:r>
          </w:p>
        </w:tc>
        <w:tc>
          <w:tcPr>
            <w:tcW w:w="1872" w:type="dxa"/>
            <w:tcBorders>
              <w:top w:val="single" w:sz="4" w:space="0" w:color="1F497D" w:themeColor="text2"/>
              <w:left w:val="nil"/>
              <w:bottom w:val="single" w:sz="4" w:space="0" w:color="1F497D" w:themeColor="text2"/>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-4.2</w:t>
            </w:r>
          </w:p>
        </w:tc>
      </w:tr>
      <w:tr w:rsidR="000A4D5C" w:rsidRPr="000A4D5C" w:rsidTr="000A4D5C">
        <w:trPr>
          <w:trHeight w:val="576"/>
          <w:jc w:val="center"/>
        </w:trPr>
        <w:tc>
          <w:tcPr>
            <w:tcW w:w="2545" w:type="dxa"/>
            <w:tcBorders>
              <w:top w:val="single" w:sz="4" w:space="0" w:color="1F497D" w:themeColor="text2"/>
              <w:left w:val="nil"/>
              <w:bottom w:val="single" w:sz="4" w:space="0" w:color="1F497D" w:themeColor="text2"/>
              <w:right w:val="nil"/>
            </w:tcBorders>
            <w:vAlign w:val="center"/>
          </w:tcPr>
          <w:p w:rsidR="000A4D5C" w:rsidRPr="000A4D5C" w:rsidRDefault="000A4D5C" w:rsidP="000A4D5C">
            <w:pPr>
              <w:rPr>
                <w:rFonts w:asciiTheme="minorHAnsi" w:hAnsiTheme="minorHAnsi" w:cstheme="minorHAnsi"/>
                <w:szCs w:val="22"/>
              </w:rPr>
            </w:pPr>
            <w:r w:rsidRPr="000A4D5C">
              <w:rPr>
                <w:rFonts w:asciiTheme="minorHAnsi" w:hAnsiTheme="minorHAnsi" w:cstheme="minorHAnsi"/>
                <w:szCs w:val="22"/>
              </w:rPr>
              <w:t>South Zone</w:t>
            </w:r>
          </w:p>
        </w:tc>
        <w:tc>
          <w:tcPr>
            <w:tcW w:w="1872" w:type="dxa"/>
            <w:tcBorders>
              <w:top w:val="single" w:sz="4" w:space="0" w:color="1F497D" w:themeColor="text2"/>
              <w:left w:val="nil"/>
              <w:bottom w:val="single" w:sz="4" w:space="0" w:color="1F497D" w:themeColor="text2"/>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-14.2</w:t>
            </w:r>
          </w:p>
        </w:tc>
        <w:tc>
          <w:tcPr>
            <w:tcW w:w="1872" w:type="dxa"/>
            <w:tcBorders>
              <w:top w:val="single" w:sz="4" w:space="0" w:color="1F497D" w:themeColor="text2"/>
              <w:left w:val="nil"/>
              <w:bottom w:val="single" w:sz="4" w:space="0" w:color="1F497D" w:themeColor="text2"/>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-13.5</w:t>
            </w:r>
          </w:p>
        </w:tc>
        <w:tc>
          <w:tcPr>
            <w:tcW w:w="1872" w:type="dxa"/>
            <w:tcBorders>
              <w:top w:val="single" w:sz="4" w:space="0" w:color="1F497D" w:themeColor="text2"/>
              <w:left w:val="nil"/>
              <w:bottom w:val="single" w:sz="4" w:space="0" w:color="1F497D" w:themeColor="text2"/>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-16.0</w:t>
            </w:r>
          </w:p>
        </w:tc>
      </w:tr>
      <w:tr w:rsidR="000A4D5C" w:rsidRPr="000A4D5C" w:rsidTr="000A4D5C">
        <w:trPr>
          <w:trHeight w:val="576"/>
          <w:jc w:val="center"/>
        </w:trPr>
        <w:tc>
          <w:tcPr>
            <w:tcW w:w="2545" w:type="dxa"/>
            <w:tcBorders>
              <w:top w:val="single" w:sz="4" w:space="0" w:color="1F497D" w:themeColor="text2"/>
              <w:left w:val="nil"/>
              <w:bottom w:val="nil"/>
              <w:right w:val="nil"/>
            </w:tcBorders>
            <w:vAlign w:val="center"/>
          </w:tcPr>
          <w:p w:rsidR="000A4D5C" w:rsidRPr="000A4D5C" w:rsidRDefault="000A4D5C" w:rsidP="000A4D5C">
            <w:pPr>
              <w:rPr>
                <w:rFonts w:asciiTheme="minorHAnsi" w:hAnsiTheme="minorHAnsi" w:cstheme="minorHAnsi"/>
                <w:szCs w:val="22"/>
              </w:rPr>
            </w:pPr>
            <w:r w:rsidRPr="000A4D5C">
              <w:rPr>
                <w:rFonts w:asciiTheme="minorHAnsi" w:hAnsiTheme="minorHAnsi" w:cstheme="minorHAnsi"/>
                <w:szCs w:val="22"/>
              </w:rPr>
              <w:t>West Zone</w:t>
            </w:r>
          </w:p>
        </w:tc>
        <w:tc>
          <w:tcPr>
            <w:tcW w:w="1872" w:type="dxa"/>
            <w:tcBorders>
              <w:top w:val="single" w:sz="4" w:space="0" w:color="1F497D" w:themeColor="text2"/>
              <w:left w:val="nil"/>
              <w:bottom w:val="nil"/>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-115.2</w:t>
            </w:r>
          </w:p>
        </w:tc>
        <w:tc>
          <w:tcPr>
            <w:tcW w:w="1872" w:type="dxa"/>
            <w:tcBorders>
              <w:top w:val="single" w:sz="4" w:space="0" w:color="1F497D" w:themeColor="text2"/>
              <w:left w:val="nil"/>
              <w:bottom w:val="nil"/>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-131.8</w:t>
            </w:r>
          </w:p>
        </w:tc>
        <w:tc>
          <w:tcPr>
            <w:tcW w:w="1872" w:type="dxa"/>
            <w:tcBorders>
              <w:top w:val="single" w:sz="4" w:space="0" w:color="1F497D" w:themeColor="text2"/>
              <w:left w:val="nil"/>
              <w:bottom w:val="nil"/>
              <w:right w:val="nil"/>
            </w:tcBorders>
            <w:vAlign w:val="center"/>
          </w:tcPr>
          <w:p w:rsidR="000A4D5C" w:rsidRPr="000A4D5C" w:rsidRDefault="000A4D5C" w:rsidP="000A4D5C">
            <w:pPr>
              <w:jc w:val="center"/>
              <w:rPr>
                <w:rFonts w:asciiTheme="minorHAnsi" w:hAnsiTheme="minorHAnsi" w:cstheme="minorHAnsi"/>
                <w:szCs w:val="22"/>
              </w:rPr>
            </w:pPr>
            <w:r>
              <w:rPr>
                <w:rFonts w:asciiTheme="minorHAnsi" w:hAnsiTheme="minorHAnsi" w:cstheme="minorHAnsi"/>
                <w:szCs w:val="22"/>
              </w:rPr>
              <w:t>-132.5</w:t>
            </w:r>
          </w:p>
        </w:tc>
      </w:tr>
    </w:tbl>
    <w:p w:rsidR="005E0682" w:rsidRPr="005E0682" w:rsidRDefault="005E0682">
      <w:pPr>
        <w:rPr>
          <w:i/>
        </w:rPr>
      </w:pPr>
    </w:p>
    <w:p w:rsidR="007B7B6E" w:rsidRPr="00161F6A" w:rsidRDefault="001714D7">
      <w:pPr>
        <w:rPr>
          <w:i/>
        </w:rPr>
      </w:pPr>
      <w:r>
        <w:rPr>
          <w:i/>
        </w:rPr>
        <w:t>2</w:t>
      </w:r>
      <w:r w:rsidR="007B7B6E" w:rsidRPr="00161F6A">
        <w:rPr>
          <w:i/>
        </w:rPr>
        <w:t xml:space="preserve">.  </w:t>
      </w:r>
      <w:r w:rsidR="008271B8" w:rsidRPr="008271B8">
        <w:rPr>
          <w:i/>
        </w:rPr>
        <w:t>Please provide the amount of reduction in production of thermal generation in the West and North Load Zones referenced in paragraph 1 on page 4</w:t>
      </w:r>
      <w:r w:rsidR="009220AC" w:rsidRPr="00161F6A">
        <w:rPr>
          <w:i/>
        </w:rPr>
        <w:t>.</w:t>
      </w:r>
      <w:r w:rsidR="000F57DE" w:rsidRPr="00161F6A">
        <w:rPr>
          <w:i/>
        </w:rPr>
        <w:t xml:space="preserve"> </w:t>
      </w:r>
      <w:r>
        <w:rPr>
          <w:i/>
        </w:rPr>
        <w:t>(</w:t>
      </w:r>
      <w:r w:rsidR="008271B8" w:rsidRPr="00B939E7">
        <w:rPr>
          <w:i/>
        </w:rPr>
        <w:t>Invenergy LLC</w:t>
      </w:r>
      <w:r>
        <w:rPr>
          <w:i/>
        </w:rPr>
        <w:t>)</w:t>
      </w:r>
    </w:p>
    <w:p w:rsidR="009220AC" w:rsidRDefault="007B7B6E">
      <w:r w:rsidRPr="00161F6A">
        <w:t xml:space="preserve">A.  </w:t>
      </w:r>
      <w:r w:rsidR="000F57DE" w:rsidRPr="00161F6A">
        <w:t xml:space="preserve">The </w:t>
      </w:r>
      <w:r w:rsidR="008271B8" w:rsidRPr="008271B8">
        <w:t xml:space="preserve">reduction in production of thermal generation in the West and North Load Zones </w:t>
      </w:r>
      <w:r w:rsidR="008271B8" w:rsidRPr="007B7B6E">
        <w:t>reported by the model for the base case and two sensitivities are</w:t>
      </w:r>
      <w:r w:rsidR="008271B8">
        <w:t xml:space="preserve"> provided in the following table:</w:t>
      </w:r>
    </w:p>
    <w:p w:rsidR="008271B8" w:rsidRPr="00161F6A" w:rsidRDefault="008271B8"/>
    <w:p w:rsidR="002F28A5" w:rsidRDefault="002F28A5">
      <w:pPr>
        <w:rPr>
          <w:rFonts w:cstheme="minorHAnsi"/>
          <w:b/>
          <w:color w:val="000000"/>
        </w:rPr>
      </w:pPr>
      <w:r>
        <w:rPr>
          <w:rFonts w:cstheme="minorHAnsi"/>
          <w:b/>
          <w:color w:val="000000"/>
        </w:rPr>
        <w:br w:type="page"/>
      </w:r>
    </w:p>
    <w:p w:rsidR="008271B8" w:rsidRPr="005A4BE6" w:rsidRDefault="008271B8" w:rsidP="008271B8">
      <w:pPr>
        <w:widowControl w:val="0"/>
        <w:autoSpaceDE w:val="0"/>
        <w:autoSpaceDN w:val="0"/>
        <w:adjustRightInd w:val="0"/>
        <w:spacing w:line="360" w:lineRule="auto"/>
        <w:jc w:val="center"/>
        <w:rPr>
          <w:rFonts w:cstheme="minorHAnsi"/>
          <w:b/>
          <w:color w:val="000000"/>
        </w:rPr>
      </w:pPr>
      <w:r>
        <w:rPr>
          <w:rFonts w:cstheme="minorHAnsi"/>
          <w:b/>
          <w:color w:val="000000"/>
        </w:rPr>
        <w:t xml:space="preserve">Reduction in Annual Generation (Thermal, in </w:t>
      </w:r>
      <w:proofErr w:type="spellStart"/>
      <w:r>
        <w:rPr>
          <w:rFonts w:cstheme="minorHAnsi"/>
          <w:b/>
          <w:color w:val="000000"/>
        </w:rPr>
        <w:t>GWh</w:t>
      </w:r>
      <w:proofErr w:type="spellEnd"/>
      <w:r>
        <w:rPr>
          <w:rFonts w:cstheme="minorHAnsi"/>
          <w:b/>
          <w:color w:val="000000"/>
        </w:rPr>
        <w:t>)</w:t>
      </w:r>
    </w:p>
    <w:tbl>
      <w:tblPr>
        <w:tblStyle w:val="TableGrid"/>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545"/>
        <w:gridCol w:w="1872"/>
        <w:gridCol w:w="1872"/>
        <w:gridCol w:w="1872"/>
      </w:tblGrid>
      <w:tr w:rsidR="008271B8" w:rsidRPr="003E0171" w:rsidTr="00EE54A1">
        <w:trPr>
          <w:trHeight w:val="576"/>
          <w:jc w:val="center"/>
        </w:trPr>
        <w:tc>
          <w:tcPr>
            <w:tcW w:w="2545" w:type="dxa"/>
            <w:tcBorders>
              <w:top w:val="single" w:sz="4" w:space="0" w:color="1F497D" w:themeColor="text2"/>
              <w:left w:val="single" w:sz="4" w:space="0" w:color="1F497D" w:themeColor="text2"/>
              <w:bottom w:val="nil"/>
              <w:right w:val="nil"/>
            </w:tcBorders>
            <w:shd w:val="solid" w:color="003865" w:fill="auto"/>
            <w:vAlign w:val="center"/>
          </w:tcPr>
          <w:p w:rsidR="008271B8" w:rsidRPr="00BB2B40" w:rsidRDefault="008271B8" w:rsidP="00EE54A1">
            <w:pPr>
              <w:rPr>
                <w:rFonts w:asciiTheme="minorHAnsi" w:hAnsiTheme="minorHAnsi" w:cstheme="minorHAnsi"/>
                <w:b/>
                <w:szCs w:val="22"/>
              </w:rPr>
            </w:pPr>
          </w:p>
        </w:tc>
        <w:tc>
          <w:tcPr>
            <w:tcW w:w="1872" w:type="dxa"/>
            <w:tcBorders>
              <w:top w:val="single" w:sz="4" w:space="0" w:color="1F497D" w:themeColor="text2"/>
              <w:left w:val="nil"/>
              <w:bottom w:val="nil"/>
              <w:right w:val="nil"/>
            </w:tcBorders>
            <w:shd w:val="solid" w:color="003865" w:fill="auto"/>
            <w:vAlign w:val="center"/>
          </w:tcPr>
          <w:p w:rsidR="008271B8" w:rsidRPr="00BB2B40" w:rsidRDefault="008271B8" w:rsidP="00EE54A1">
            <w:pPr>
              <w:jc w:val="center"/>
              <w:rPr>
                <w:rFonts w:asciiTheme="minorHAnsi" w:hAnsiTheme="minorHAnsi" w:cstheme="minorHAnsi"/>
                <w:b/>
                <w:szCs w:val="22"/>
              </w:rPr>
            </w:pPr>
            <w:r w:rsidRPr="00BB2B40">
              <w:rPr>
                <w:rFonts w:asciiTheme="minorHAnsi" w:hAnsiTheme="minorHAnsi" w:cstheme="minorHAnsi"/>
                <w:b/>
                <w:szCs w:val="22"/>
              </w:rPr>
              <w:t xml:space="preserve">Low Gas </w:t>
            </w:r>
            <w:r>
              <w:rPr>
                <w:rFonts w:asciiTheme="minorHAnsi" w:hAnsiTheme="minorHAnsi" w:cstheme="minorHAnsi"/>
                <w:b/>
                <w:szCs w:val="22"/>
              </w:rPr>
              <w:br/>
            </w:r>
            <w:r w:rsidRPr="00BB2B40">
              <w:rPr>
                <w:rFonts w:asciiTheme="minorHAnsi" w:hAnsiTheme="minorHAnsi" w:cstheme="minorHAnsi"/>
                <w:b/>
                <w:szCs w:val="22"/>
              </w:rPr>
              <w:t>Price Case</w:t>
            </w:r>
          </w:p>
        </w:tc>
        <w:tc>
          <w:tcPr>
            <w:tcW w:w="1872" w:type="dxa"/>
            <w:tcBorders>
              <w:top w:val="single" w:sz="4" w:space="0" w:color="1F497D" w:themeColor="text2"/>
              <w:left w:val="nil"/>
              <w:bottom w:val="nil"/>
              <w:right w:val="nil"/>
            </w:tcBorders>
            <w:shd w:val="solid" w:color="003865" w:fill="auto"/>
            <w:vAlign w:val="center"/>
          </w:tcPr>
          <w:p w:rsidR="008271B8" w:rsidRPr="00BB2B40" w:rsidRDefault="008271B8" w:rsidP="00EE54A1">
            <w:pPr>
              <w:jc w:val="center"/>
              <w:rPr>
                <w:rFonts w:asciiTheme="minorHAnsi" w:hAnsiTheme="minorHAnsi" w:cstheme="minorHAnsi"/>
                <w:b/>
                <w:szCs w:val="22"/>
              </w:rPr>
            </w:pPr>
            <w:r w:rsidRPr="00BB2B40">
              <w:rPr>
                <w:rFonts w:asciiTheme="minorHAnsi" w:hAnsiTheme="minorHAnsi" w:cstheme="minorHAnsi"/>
                <w:b/>
                <w:szCs w:val="22"/>
              </w:rPr>
              <w:t>Base Case</w:t>
            </w:r>
          </w:p>
        </w:tc>
        <w:tc>
          <w:tcPr>
            <w:tcW w:w="1872" w:type="dxa"/>
            <w:tcBorders>
              <w:top w:val="single" w:sz="4" w:space="0" w:color="1F497D" w:themeColor="text2"/>
              <w:left w:val="nil"/>
              <w:bottom w:val="nil"/>
              <w:right w:val="single" w:sz="4" w:space="0" w:color="1F497D" w:themeColor="text2"/>
            </w:tcBorders>
            <w:shd w:val="solid" w:color="003865" w:fill="auto"/>
            <w:vAlign w:val="center"/>
          </w:tcPr>
          <w:p w:rsidR="008271B8" w:rsidRPr="00BB2B40" w:rsidRDefault="008271B8" w:rsidP="00EE54A1">
            <w:pPr>
              <w:jc w:val="center"/>
              <w:rPr>
                <w:rFonts w:asciiTheme="minorHAnsi" w:hAnsiTheme="minorHAnsi" w:cstheme="minorHAnsi"/>
                <w:b/>
                <w:szCs w:val="22"/>
              </w:rPr>
            </w:pPr>
            <w:r w:rsidRPr="00BB2B40">
              <w:rPr>
                <w:rFonts w:asciiTheme="minorHAnsi" w:hAnsiTheme="minorHAnsi" w:cstheme="minorHAnsi"/>
                <w:b/>
                <w:szCs w:val="22"/>
              </w:rPr>
              <w:t xml:space="preserve">High Gas </w:t>
            </w:r>
            <w:r>
              <w:rPr>
                <w:rFonts w:asciiTheme="minorHAnsi" w:hAnsiTheme="minorHAnsi" w:cstheme="minorHAnsi"/>
                <w:b/>
                <w:szCs w:val="22"/>
              </w:rPr>
              <w:br/>
            </w:r>
            <w:r w:rsidRPr="00BB2B40">
              <w:rPr>
                <w:rFonts w:asciiTheme="minorHAnsi" w:hAnsiTheme="minorHAnsi" w:cstheme="minorHAnsi"/>
                <w:b/>
                <w:szCs w:val="22"/>
              </w:rPr>
              <w:t>Price Case</w:t>
            </w:r>
          </w:p>
        </w:tc>
      </w:tr>
      <w:tr w:rsidR="008271B8" w:rsidRPr="000A4D5C" w:rsidTr="00EE54A1">
        <w:trPr>
          <w:trHeight w:val="576"/>
          <w:jc w:val="center"/>
        </w:trPr>
        <w:tc>
          <w:tcPr>
            <w:tcW w:w="2545" w:type="dxa"/>
            <w:tcBorders>
              <w:top w:val="single" w:sz="4" w:space="0" w:color="1F497D" w:themeColor="text2"/>
              <w:left w:val="nil"/>
              <w:bottom w:val="single" w:sz="4" w:space="0" w:color="1F497D" w:themeColor="text2"/>
              <w:right w:val="nil"/>
            </w:tcBorders>
            <w:vAlign w:val="center"/>
          </w:tcPr>
          <w:p w:rsidR="008271B8" w:rsidRPr="000A4D5C" w:rsidRDefault="008271B8" w:rsidP="00EE54A1">
            <w:pPr>
              <w:rPr>
                <w:rFonts w:asciiTheme="minorHAnsi" w:hAnsiTheme="minorHAnsi" w:cstheme="minorHAnsi"/>
                <w:szCs w:val="22"/>
              </w:rPr>
            </w:pPr>
            <w:r w:rsidRPr="000A4D5C">
              <w:rPr>
                <w:rFonts w:asciiTheme="minorHAnsi" w:hAnsiTheme="minorHAnsi" w:cstheme="minorHAnsi"/>
                <w:szCs w:val="22"/>
              </w:rPr>
              <w:t xml:space="preserve">North </w:t>
            </w:r>
            <w:r>
              <w:rPr>
                <w:rFonts w:asciiTheme="minorHAnsi" w:hAnsiTheme="minorHAnsi" w:cstheme="minorHAnsi"/>
                <w:szCs w:val="22"/>
              </w:rPr>
              <w:t>Zone</w:t>
            </w:r>
          </w:p>
        </w:tc>
        <w:tc>
          <w:tcPr>
            <w:tcW w:w="1872" w:type="dxa"/>
            <w:tcBorders>
              <w:top w:val="single" w:sz="4" w:space="0" w:color="1F497D" w:themeColor="text2"/>
              <w:left w:val="nil"/>
              <w:bottom w:val="single" w:sz="4" w:space="0" w:color="1F497D" w:themeColor="text2"/>
              <w:right w:val="nil"/>
            </w:tcBorders>
            <w:vAlign w:val="center"/>
          </w:tcPr>
          <w:p w:rsidR="008271B8" w:rsidRPr="000A4D5C" w:rsidRDefault="008271B8" w:rsidP="008271B8">
            <w:pPr>
              <w:jc w:val="center"/>
              <w:rPr>
                <w:rFonts w:asciiTheme="minorHAnsi" w:hAnsiTheme="minorHAnsi" w:cstheme="minorHAnsi"/>
                <w:szCs w:val="22"/>
              </w:rPr>
            </w:pPr>
            <w:r>
              <w:rPr>
                <w:rFonts w:asciiTheme="minorHAnsi" w:hAnsiTheme="minorHAnsi" w:cstheme="minorHAnsi"/>
                <w:szCs w:val="22"/>
              </w:rPr>
              <w:t>6,068.1</w:t>
            </w:r>
          </w:p>
        </w:tc>
        <w:tc>
          <w:tcPr>
            <w:tcW w:w="1872" w:type="dxa"/>
            <w:tcBorders>
              <w:top w:val="single" w:sz="4" w:space="0" w:color="1F497D" w:themeColor="text2"/>
              <w:left w:val="nil"/>
              <w:bottom w:val="single" w:sz="4" w:space="0" w:color="1F497D" w:themeColor="text2"/>
              <w:right w:val="nil"/>
            </w:tcBorders>
            <w:vAlign w:val="center"/>
          </w:tcPr>
          <w:p w:rsidR="008271B8" w:rsidRPr="000A4D5C" w:rsidRDefault="008271B8" w:rsidP="008271B8">
            <w:pPr>
              <w:jc w:val="center"/>
              <w:rPr>
                <w:rFonts w:asciiTheme="minorHAnsi" w:hAnsiTheme="minorHAnsi" w:cstheme="minorHAnsi"/>
                <w:szCs w:val="22"/>
              </w:rPr>
            </w:pPr>
            <w:r>
              <w:rPr>
                <w:rFonts w:asciiTheme="minorHAnsi" w:hAnsiTheme="minorHAnsi" w:cstheme="minorHAnsi"/>
                <w:szCs w:val="22"/>
              </w:rPr>
              <w:t>8,022.4</w:t>
            </w:r>
          </w:p>
        </w:tc>
        <w:tc>
          <w:tcPr>
            <w:tcW w:w="1872" w:type="dxa"/>
            <w:tcBorders>
              <w:top w:val="single" w:sz="4" w:space="0" w:color="1F497D" w:themeColor="text2"/>
              <w:left w:val="nil"/>
              <w:bottom w:val="single" w:sz="4" w:space="0" w:color="1F497D" w:themeColor="text2"/>
              <w:right w:val="nil"/>
            </w:tcBorders>
            <w:vAlign w:val="center"/>
          </w:tcPr>
          <w:p w:rsidR="008271B8" w:rsidRPr="000A4D5C" w:rsidRDefault="008271B8" w:rsidP="00EE54A1">
            <w:pPr>
              <w:jc w:val="center"/>
              <w:rPr>
                <w:rFonts w:asciiTheme="minorHAnsi" w:hAnsiTheme="minorHAnsi" w:cstheme="minorHAnsi"/>
                <w:szCs w:val="22"/>
              </w:rPr>
            </w:pPr>
            <w:r>
              <w:rPr>
                <w:rFonts w:asciiTheme="minorHAnsi" w:hAnsiTheme="minorHAnsi" w:cstheme="minorHAnsi"/>
                <w:szCs w:val="22"/>
              </w:rPr>
              <w:t>10,249.8</w:t>
            </w:r>
          </w:p>
        </w:tc>
      </w:tr>
      <w:tr w:rsidR="008271B8" w:rsidRPr="000A4D5C" w:rsidTr="00EE54A1">
        <w:trPr>
          <w:trHeight w:val="576"/>
          <w:jc w:val="center"/>
        </w:trPr>
        <w:tc>
          <w:tcPr>
            <w:tcW w:w="2545" w:type="dxa"/>
            <w:tcBorders>
              <w:top w:val="single" w:sz="4" w:space="0" w:color="1F497D" w:themeColor="text2"/>
              <w:left w:val="nil"/>
              <w:bottom w:val="nil"/>
              <w:right w:val="nil"/>
            </w:tcBorders>
            <w:vAlign w:val="center"/>
          </w:tcPr>
          <w:p w:rsidR="008271B8" w:rsidRPr="000A4D5C" w:rsidRDefault="00835CA6" w:rsidP="00EE54A1">
            <w:pPr>
              <w:rPr>
                <w:rFonts w:asciiTheme="minorHAnsi" w:hAnsiTheme="minorHAnsi" w:cstheme="minorHAnsi"/>
                <w:szCs w:val="22"/>
              </w:rPr>
            </w:pPr>
            <w:r>
              <w:rPr>
                <w:rFonts w:asciiTheme="minorHAnsi" w:hAnsiTheme="minorHAnsi" w:cstheme="minorHAnsi"/>
                <w:szCs w:val="22"/>
              </w:rPr>
              <w:t>West</w:t>
            </w:r>
            <w:r w:rsidR="008271B8" w:rsidRPr="000A4D5C">
              <w:rPr>
                <w:rFonts w:asciiTheme="minorHAnsi" w:hAnsiTheme="minorHAnsi" w:cstheme="minorHAnsi"/>
                <w:szCs w:val="22"/>
              </w:rPr>
              <w:t xml:space="preserve"> Zone</w:t>
            </w:r>
          </w:p>
        </w:tc>
        <w:tc>
          <w:tcPr>
            <w:tcW w:w="1872" w:type="dxa"/>
            <w:tcBorders>
              <w:top w:val="single" w:sz="4" w:space="0" w:color="1F497D" w:themeColor="text2"/>
              <w:left w:val="nil"/>
              <w:bottom w:val="nil"/>
              <w:right w:val="nil"/>
            </w:tcBorders>
            <w:vAlign w:val="center"/>
          </w:tcPr>
          <w:p w:rsidR="008271B8" w:rsidRPr="000A4D5C" w:rsidRDefault="008271B8" w:rsidP="008271B8">
            <w:pPr>
              <w:jc w:val="center"/>
              <w:rPr>
                <w:rFonts w:asciiTheme="minorHAnsi" w:hAnsiTheme="minorHAnsi" w:cstheme="minorHAnsi"/>
                <w:szCs w:val="22"/>
              </w:rPr>
            </w:pPr>
            <w:r>
              <w:rPr>
                <w:rFonts w:asciiTheme="minorHAnsi" w:hAnsiTheme="minorHAnsi" w:cstheme="minorHAnsi"/>
                <w:szCs w:val="22"/>
              </w:rPr>
              <w:t>1,390.7</w:t>
            </w:r>
          </w:p>
        </w:tc>
        <w:tc>
          <w:tcPr>
            <w:tcW w:w="1872" w:type="dxa"/>
            <w:tcBorders>
              <w:top w:val="single" w:sz="4" w:space="0" w:color="1F497D" w:themeColor="text2"/>
              <w:left w:val="nil"/>
              <w:bottom w:val="nil"/>
              <w:right w:val="nil"/>
            </w:tcBorders>
            <w:vAlign w:val="center"/>
          </w:tcPr>
          <w:p w:rsidR="008271B8" w:rsidRPr="000A4D5C" w:rsidRDefault="008271B8" w:rsidP="00EE54A1">
            <w:pPr>
              <w:jc w:val="center"/>
              <w:rPr>
                <w:rFonts w:asciiTheme="minorHAnsi" w:hAnsiTheme="minorHAnsi" w:cstheme="minorHAnsi"/>
                <w:szCs w:val="22"/>
              </w:rPr>
            </w:pPr>
            <w:r>
              <w:rPr>
                <w:rFonts w:asciiTheme="minorHAnsi" w:hAnsiTheme="minorHAnsi" w:cstheme="minorHAnsi"/>
                <w:szCs w:val="22"/>
              </w:rPr>
              <w:t>1,575.1</w:t>
            </w:r>
          </w:p>
        </w:tc>
        <w:tc>
          <w:tcPr>
            <w:tcW w:w="1872" w:type="dxa"/>
            <w:tcBorders>
              <w:top w:val="single" w:sz="4" w:space="0" w:color="1F497D" w:themeColor="text2"/>
              <w:left w:val="nil"/>
              <w:bottom w:val="nil"/>
              <w:right w:val="nil"/>
            </w:tcBorders>
            <w:vAlign w:val="center"/>
          </w:tcPr>
          <w:p w:rsidR="008271B8" w:rsidRPr="000A4D5C" w:rsidRDefault="008271B8" w:rsidP="00EE54A1">
            <w:pPr>
              <w:jc w:val="center"/>
              <w:rPr>
                <w:rFonts w:asciiTheme="minorHAnsi" w:hAnsiTheme="minorHAnsi" w:cstheme="minorHAnsi"/>
                <w:szCs w:val="22"/>
              </w:rPr>
            </w:pPr>
            <w:r>
              <w:rPr>
                <w:rFonts w:asciiTheme="minorHAnsi" w:hAnsiTheme="minorHAnsi" w:cstheme="minorHAnsi"/>
                <w:szCs w:val="22"/>
              </w:rPr>
              <w:t>1,724.4</w:t>
            </w:r>
          </w:p>
        </w:tc>
      </w:tr>
    </w:tbl>
    <w:p w:rsidR="00161F6A" w:rsidRDefault="00161F6A" w:rsidP="00FC3784">
      <w:pPr>
        <w:rPr>
          <w:i/>
        </w:rPr>
      </w:pPr>
    </w:p>
    <w:p w:rsidR="00161F6A" w:rsidRPr="00161F6A" w:rsidRDefault="001714D7" w:rsidP="00FC3784">
      <w:pPr>
        <w:rPr>
          <w:i/>
        </w:rPr>
      </w:pPr>
      <w:r>
        <w:rPr>
          <w:i/>
        </w:rPr>
        <w:t>3</w:t>
      </w:r>
      <w:r w:rsidR="007B7B6E" w:rsidRPr="00161F6A">
        <w:rPr>
          <w:i/>
        </w:rPr>
        <w:t xml:space="preserve">.  </w:t>
      </w:r>
      <w:r w:rsidR="00FC3784" w:rsidRPr="00161F6A">
        <w:rPr>
          <w:i/>
        </w:rPr>
        <w:t xml:space="preserve">Please </w:t>
      </w:r>
      <w:r w:rsidR="00EE54A1" w:rsidRPr="00EE54A1">
        <w:rPr>
          <w:i/>
        </w:rPr>
        <w:t>confirm that wind generation units in West Texas do not show a reduction in energy production, as stated in paragraph 1 on page 4. Please provide those amounts of production for wind generation units, if possible, for the years 2030 and 2040</w:t>
      </w:r>
      <w:r w:rsidR="00FC3784" w:rsidRPr="00161F6A">
        <w:rPr>
          <w:i/>
        </w:rPr>
        <w:t>.</w:t>
      </w:r>
      <w:r w:rsidR="000F57DE" w:rsidRPr="00161F6A">
        <w:rPr>
          <w:i/>
        </w:rPr>
        <w:t xml:space="preserve"> </w:t>
      </w:r>
      <w:r>
        <w:rPr>
          <w:i/>
        </w:rPr>
        <w:t>(</w:t>
      </w:r>
      <w:r w:rsidR="00EE54A1" w:rsidRPr="00B939E7">
        <w:rPr>
          <w:i/>
        </w:rPr>
        <w:t>Invenergy LLC</w:t>
      </w:r>
      <w:r>
        <w:rPr>
          <w:i/>
        </w:rPr>
        <w:t>)</w:t>
      </w:r>
    </w:p>
    <w:p w:rsidR="00EE54A1" w:rsidRDefault="00161F6A" w:rsidP="00EE54A1">
      <w:r>
        <w:t xml:space="preserve">A.  </w:t>
      </w:r>
      <w:r w:rsidR="00EE54A1" w:rsidRPr="006E3C0B">
        <w:t>ERCOT only simulated one future year</w:t>
      </w:r>
      <w:r w:rsidR="00EE54A1">
        <w:t xml:space="preserve"> (2020)</w:t>
      </w:r>
      <w:r w:rsidR="00EE54A1" w:rsidRPr="006E3C0B">
        <w:t xml:space="preserve"> in the marginal loss study.  </w:t>
      </w:r>
      <w:r w:rsidR="00EE54A1">
        <w:t>For</w:t>
      </w:r>
      <w:r w:rsidR="00EE54A1" w:rsidRPr="006E3C0B">
        <w:t xml:space="preserve"> this</w:t>
      </w:r>
      <w:r w:rsidR="00EE54A1">
        <w:t xml:space="preserve"> future</w:t>
      </w:r>
      <w:r w:rsidR="00EE54A1" w:rsidRPr="006E3C0B">
        <w:t xml:space="preserve"> year, the model provided the following results for energy production from wind generation units in West Texas:</w:t>
      </w:r>
    </w:p>
    <w:p w:rsidR="005E0682" w:rsidRPr="006E3C0B" w:rsidRDefault="005E0682" w:rsidP="00EE54A1"/>
    <w:p w:rsidR="00EE54A1" w:rsidRPr="005A4BE6" w:rsidRDefault="00EE54A1" w:rsidP="00EE54A1">
      <w:pPr>
        <w:widowControl w:val="0"/>
        <w:autoSpaceDE w:val="0"/>
        <w:autoSpaceDN w:val="0"/>
        <w:adjustRightInd w:val="0"/>
        <w:spacing w:line="360" w:lineRule="auto"/>
        <w:jc w:val="center"/>
        <w:rPr>
          <w:rFonts w:cstheme="minorHAnsi"/>
          <w:b/>
          <w:color w:val="000000"/>
        </w:rPr>
      </w:pPr>
      <w:r>
        <w:rPr>
          <w:rFonts w:cstheme="minorHAnsi"/>
          <w:b/>
          <w:color w:val="000000"/>
        </w:rPr>
        <w:t>Wind Generation in West Texas</w:t>
      </w:r>
    </w:p>
    <w:tbl>
      <w:tblPr>
        <w:tblStyle w:val="TableGrid"/>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545"/>
        <w:gridCol w:w="1872"/>
        <w:gridCol w:w="1872"/>
        <w:gridCol w:w="1872"/>
      </w:tblGrid>
      <w:tr w:rsidR="00EE54A1" w:rsidRPr="003E0171" w:rsidTr="00EE54A1">
        <w:trPr>
          <w:trHeight w:val="576"/>
          <w:jc w:val="center"/>
        </w:trPr>
        <w:tc>
          <w:tcPr>
            <w:tcW w:w="2545" w:type="dxa"/>
            <w:tcBorders>
              <w:top w:val="single" w:sz="4" w:space="0" w:color="1F497D" w:themeColor="text2"/>
              <w:left w:val="single" w:sz="4" w:space="0" w:color="1F497D" w:themeColor="text2"/>
              <w:bottom w:val="nil"/>
              <w:right w:val="nil"/>
            </w:tcBorders>
            <w:shd w:val="solid" w:color="003865" w:fill="auto"/>
            <w:vAlign w:val="center"/>
          </w:tcPr>
          <w:p w:rsidR="00EE54A1" w:rsidRPr="00BB2B40" w:rsidRDefault="00EE54A1" w:rsidP="00EE54A1">
            <w:pPr>
              <w:rPr>
                <w:rFonts w:asciiTheme="minorHAnsi" w:hAnsiTheme="minorHAnsi" w:cstheme="minorHAnsi"/>
                <w:b/>
                <w:szCs w:val="22"/>
              </w:rPr>
            </w:pPr>
          </w:p>
        </w:tc>
        <w:tc>
          <w:tcPr>
            <w:tcW w:w="1872" w:type="dxa"/>
            <w:tcBorders>
              <w:top w:val="single" w:sz="4" w:space="0" w:color="1F497D" w:themeColor="text2"/>
              <w:left w:val="nil"/>
              <w:bottom w:val="nil"/>
              <w:right w:val="nil"/>
            </w:tcBorders>
            <w:shd w:val="solid" w:color="003865" w:fill="auto"/>
            <w:vAlign w:val="center"/>
          </w:tcPr>
          <w:p w:rsidR="00EE54A1" w:rsidRPr="00BB2B40" w:rsidRDefault="00EE54A1" w:rsidP="00EE54A1">
            <w:pPr>
              <w:jc w:val="center"/>
              <w:rPr>
                <w:rFonts w:asciiTheme="minorHAnsi" w:hAnsiTheme="minorHAnsi" w:cstheme="minorHAnsi"/>
                <w:b/>
                <w:szCs w:val="22"/>
              </w:rPr>
            </w:pPr>
            <w:r w:rsidRPr="00BB2B40">
              <w:rPr>
                <w:rFonts w:asciiTheme="minorHAnsi" w:hAnsiTheme="minorHAnsi" w:cstheme="minorHAnsi"/>
                <w:b/>
                <w:szCs w:val="22"/>
              </w:rPr>
              <w:t xml:space="preserve">Low Gas </w:t>
            </w:r>
            <w:r>
              <w:rPr>
                <w:rFonts w:asciiTheme="minorHAnsi" w:hAnsiTheme="minorHAnsi" w:cstheme="minorHAnsi"/>
                <w:b/>
                <w:szCs w:val="22"/>
              </w:rPr>
              <w:br/>
            </w:r>
            <w:r w:rsidRPr="00BB2B40">
              <w:rPr>
                <w:rFonts w:asciiTheme="minorHAnsi" w:hAnsiTheme="minorHAnsi" w:cstheme="minorHAnsi"/>
                <w:b/>
                <w:szCs w:val="22"/>
              </w:rPr>
              <w:t>Price Case</w:t>
            </w:r>
          </w:p>
        </w:tc>
        <w:tc>
          <w:tcPr>
            <w:tcW w:w="1872" w:type="dxa"/>
            <w:tcBorders>
              <w:top w:val="single" w:sz="4" w:space="0" w:color="1F497D" w:themeColor="text2"/>
              <w:left w:val="nil"/>
              <w:bottom w:val="nil"/>
              <w:right w:val="nil"/>
            </w:tcBorders>
            <w:shd w:val="solid" w:color="003865" w:fill="auto"/>
            <w:vAlign w:val="center"/>
          </w:tcPr>
          <w:p w:rsidR="00EE54A1" w:rsidRPr="00BB2B40" w:rsidRDefault="00EE54A1" w:rsidP="00EE54A1">
            <w:pPr>
              <w:jc w:val="center"/>
              <w:rPr>
                <w:rFonts w:asciiTheme="minorHAnsi" w:hAnsiTheme="minorHAnsi" w:cstheme="minorHAnsi"/>
                <w:b/>
                <w:szCs w:val="22"/>
              </w:rPr>
            </w:pPr>
            <w:r w:rsidRPr="00BB2B40">
              <w:rPr>
                <w:rFonts w:asciiTheme="minorHAnsi" w:hAnsiTheme="minorHAnsi" w:cstheme="minorHAnsi"/>
                <w:b/>
                <w:szCs w:val="22"/>
              </w:rPr>
              <w:t>Base Case</w:t>
            </w:r>
          </w:p>
        </w:tc>
        <w:tc>
          <w:tcPr>
            <w:tcW w:w="1872" w:type="dxa"/>
            <w:tcBorders>
              <w:top w:val="single" w:sz="4" w:space="0" w:color="1F497D" w:themeColor="text2"/>
              <w:left w:val="nil"/>
              <w:bottom w:val="nil"/>
              <w:right w:val="single" w:sz="4" w:space="0" w:color="1F497D" w:themeColor="text2"/>
            </w:tcBorders>
            <w:shd w:val="solid" w:color="003865" w:fill="auto"/>
            <w:vAlign w:val="center"/>
          </w:tcPr>
          <w:p w:rsidR="00EE54A1" w:rsidRPr="00BB2B40" w:rsidRDefault="00EE54A1" w:rsidP="00EE54A1">
            <w:pPr>
              <w:jc w:val="center"/>
              <w:rPr>
                <w:rFonts w:asciiTheme="minorHAnsi" w:hAnsiTheme="minorHAnsi" w:cstheme="minorHAnsi"/>
                <w:b/>
                <w:szCs w:val="22"/>
              </w:rPr>
            </w:pPr>
            <w:r w:rsidRPr="00BB2B40">
              <w:rPr>
                <w:rFonts w:asciiTheme="minorHAnsi" w:hAnsiTheme="minorHAnsi" w:cstheme="minorHAnsi"/>
                <w:b/>
                <w:szCs w:val="22"/>
              </w:rPr>
              <w:t xml:space="preserve">High Gas </w:t>
            </w:r>
            <w:r>
              <w:rPr>
                <w:rFonts w:asciiTheme="minorHAnsi" w:hAnsiTheme="minorHAnsi" w:cstheme="minorHAnsi"/>
                <w:b/>
                <w:szCs w:val="22"/>
              </w:rPr>
              <w:br/>
            </w:r>
            <w:r w:rsidRPr="00BB2B40">
              <w:rPr>
                <w:rFonts w:asciiTheme="minorHAnsi" w:hAnsiTheme="minorHAnsi" w:cstheme="minorHAnsi"/>
                <w:b/>
                <w:szCs w:val="22"/>
              </w:rPr>
              <w:t>Price Case</w:t>
            </w:r>
          </w:p>
        </w:tc>
      </w:tr>
      <w:tr w:rsidR="00EE54A1" w:rsidRPr="003E0171" w:rsidTr="00EE54A1">
        <w:trPr>
          <w:trHeight w:val="576"/>
          <w:jc w:val="center"/>
        </w:trPr>
        <w:tc>
          <w:tcPr>
            <w:tcW w:w="2545" w:type="dxa"/>
            <w:tcBorders>
              <w:top w:val="nil"/>
              <w:left w:val="nil"/>
              <w:bottom w:val="single" w:sz="4" w:space="0" w:color="1F497D" w:themeColor="text2"/>
              <w:right w:val="nil"/>
            </w:tcBorders>
            <w:vAlign w:val="center"/>
          </w:tcPr>
          <w:p w:rsidR="00EE54A1" w:rsidRPr="00BB2B40" w:rsidRDefault="00EE54A1" w:rsidP="00EE54A1">
            <w:pPr>
              <w:rPr>
                <w:rFonts w:asciiTheme="minorHAnsi" w:hAnsiTheme="minorHAnsi" w:cstheme="minorHAnsi"/>
                <w:szCs w:val="22"/>
              </w:rPr>
            </w:pPr>
            <w:r>
              <w:rPr>
                <w:rFonts w:asciiTheme="minorHAnsi" w:hAnsiTheme="minorHAnsi" w:cstheme="minorHAnsi"/>
                <w:szCs w:val="22"/>
              </w:rPr>
              <w:t>Average Losses (</w:t>
            </w:r>
            <w:proofErr w:type="spellStart"/>
            <w:r>
              <w:rPr>
                <w:rFonts w:asciiTheme="minorHAnsi" w:hAnsiTheme="minorHAnsi" w:cstheme="minorHAnsi"/>
                <w:szCs w:val="22"/>
              </w:rPr>
              <w:t>GWh</w:t>
            </w:r>
            <w:proofErr w:type="spellEnd"/>
            <w:r w:rsidRPr="00BB2B40">
              <w:rPr>
                <w:rFonts w:asciiTheme="minorHAnsi" w:hAnsiTheme="minorHAnsi" w:cstheme="minorHAnsi"/>
                <w:szCs w:val="22"/>
              </w:rPr>
              <w:t>)</w:t>
            </w:r>
          </w:p>
        </w:tc>
        <w:tc>
          <w:tcPr>
            <w:tcW w:w="1872" w:type="dxa"/>
            <w:tcBorders>
              <w:top w:val="nil"/>
              <w:left w:val="nil"/>
              <w:bottom w:val="single" w:sz="4" w:space="0" w:color="1F497D" w:themeColor="text2"/>
              <w:right w:val="nil"/>
            </w:tcBorders>
            <w:vAlign w:val="center"/>
          </w:tcPr>
          <w:p w:rsidR="00EE54A1" w:rsidRPr="00BB2B40" w:rsidRDefault="00EE54A1" w:rsidP="00EE54A1">
            <w:pPr>
              <w:jc w:val="center"/>
              <w:rPr>
                <w:rFonts w:asciiTheme="minorHAnsi" w:hAnsiTheme="minorHAnsi" w:cstheme="minorHAnsi"/>
                <w:szCs w:val="22"/>
              </w:rPr>
            </w:pPr>
            <w:r>
              <w:rPr>
                <w:rFonts w:asciiTheme="minorHAnsi" w:hAnsiTheme="minorHAnsi" w:cstheme="minorHAnsi"/>
                <w:szCs w:val="22"/>
              </w:rPr>
              <w:t>59,519.8</w:t>
            </w:r>
          </w:p>
        </w:tc>
        <w:tc>
          <w:tcPr>
            <w:tcW w:w="1872" w:type="dxa"/>
            <w:tcBorders>
              <w:top w:val="nil"/>
              <w:left w:val="nil"/>
              <w:bottom w:val="single" w:sz="4" w:space="0" w:color="1F497D" w:themeColor="text2"/>
              <w:right w:val="nil"/>
            </w:tcBorders>
            <w:vAlign w:val="center"/>
          </w:tcPr>
          <w:p w:rsidR="00EE54A1" w:rsidRPr="00BB2B40" w:rsidRDefault="00EE54A1" w:rsidP="00EE54A1">
            <w:pPr>
              <w:jc w:val="center"/>
              <w:rPr>
                <w:rFonts w:asciiTheme="minorHAnsi" w:hAnsiTheme="minorHAnsi" w:cstheme="minorHAnsi"/>
                <w:szCs w:val="22"/>
              </w:rPr>
            </w:pPr>
            <w:r>
              <w:rPr>
                <w:rFonts w:asciiTheme="minorHAnsi" w:hAnsiTheme="minorHAnsi" w:cstheme="minorHAnsi"/>
                <w:szCs w:val="22"/>
              </w:rPr>
              <w:t>59,524.7</w:t>
            </w:r>
          </w:p>
        </w:tc>
        <w:tc>
          <w:tcPr>
            <w:tcW w:w="1872" w:type="dxa"/>
            <w:tcBorders>
              <w:top w:val="nil"/>
              <w:left w:val="nil"/>
              <w:bottom w:val="single" w:sz="4" w:space="0" w:color="1F497D" w:themeColor="text2"/>
              <w:right w:val="nil"/>
            </w:tcBorders>
            <w:vAlign w:val="center"/>
          </w:tcPr>
          <w:p w:rsidR="00EE54A1" w:rsidRPr="00BB2B40" w:rsidRDefault="00EE54A1" w:rsidP="00EE54A1">
            <w:pPr>
              <w:jc w:val="center"/>
              <w:rPr>
                <w:rFonts w:asciiTheme="minorHAnsi" w:hAnsiTheme="minorHAnsi" w:cstheme="minorHAnsi"/>
                <w:szCs w:val="22"/>
              </w:rPr>
            </w:pPr>
            <w:r>
              <w:rPr>
                <w:rFonts w:asciiTheme="minorHAnsi" w:hAnsiTheme="minorHAnsi" w:cstheme="minorHAnsi"/>
                <w:szCs w:val="22"/>
              </w:rPr>
              <w:t>59,514.8</w:t>
            </w:r>
          </w:p>
        </w:tc>
      </w:tr>
      <w:tr w:rsidR="00EE54A1" w:rsidRPr="003E0171" w:rsidTr="00EE54A1">
        <w:trPr>
          <w:trHeight w:val="576"/>
          <w:jc w:val="center"/>
        </w:trPr>
        <w:tc>
          <w:tcPr>
            <w:tcW w:w="2545" w:type="dxa"/>
            <w:tcBorders>
              <w:top w:val="single" w:sz="4" w:space="0" w:color="1F497D" w:themeColor="text2"/>
              <w:left w:val="nil"/>
              <w:bottom w:val="nil"/>
              <w:right w:val="nil"/>
            </w:tcBorders>
            <w:vAlign w:val="center"/>
          </w:tcPr>
          <w:p w:rsidR="00EE54A1" w:rsidRPr="00BB2B40" w:rsidRDefault="00EE54A1" w:rsidP="00EE54A1">
            <w:pPr>
              <w:rPr>
                <w:rFonts w:asciiTheme="minorHAnsi" w:hAnsiTheme="minorHAnsi" w:cstheme="minorHAnsi"/>
                <w:szCs w:val="22"/>
              </w:rPr>
            </w:pPr>
            <w:r>
              <w:rPr>
                <w:rFonts w:asciiTheme="minorHAnsi" w:hAnsiTheme="minorHAnsi" w:cstheme="minorHAnsi"/>
                <w:szCs w:val="22"/>
              </w:rPr>
              <w:t>Marginal Losses (</w:t>
            </w:r>
            <w:proofErr w:type="spellStart"/>
            <w:r>
              <w:rPr>
                <w:rFonts w:asciiTheme="minorHAnsi" w:hAnsiTheme="minorHAnsi" w:cstheme="minorHAnsi"/>
                <w:szCs w:val="22"/>
              </w:rPr>
              <w:t>GWh</w:t>
            </w:r>
            <w:proofErr w:type="spellEnd"/>
            <w:r w:rsidRPr="00BB2B40">
              <w:rPr>
                <w:rFonts w:asciiTheme="minorHAnsi" w:hAnsiTheme="minorHAnsi" w:cstheme="minorHAnsi"/>
                <w:szCs w:val="22"/>
              </w:rPr>
              <w:t>)</w:t>
            </w:r>
          </w:p>
        </w:tc>
        <w:tc>
          <w:tcPr>
            <w:tcW w:w="1872" w:type="dxa"/>
            <w:tcBorders>
              <w:top w:val="single" w:sz="4" w:space="0" w:color="1F497D" w:themeColor="text2"/>
              <w:left w:val="nil"/>
              <w:bottom w:val="nil"/>
              <w:right w:val="nil"/>
            </w:tcBorders>
            <w:vAlign w:val="center"/>
          </w:tcPr>
          <w:p w:rsidR="00EE54A1" w:rsidRPr="00BB2B40" w:rsidRDefault="00EE54A1" w:rsidP="00EE54A1">
            <w:pPr>
              <w:jc w:val="center"/>
              <w:rPr>
                <w:rFonts w:asciiTheme="minorHAnsi" w:hAnsiTheme="minorHAnsi" w:cstheme="minorHAnsi"/>
                <w:szCs w:val="22"/>
              </w:rPr>
            </w:pPr>
            <w:r>
              <w:rPr>
                <w:rFonts w:asciiTheme="minorHAnsi" w:hAnsiTheme="minorHAnsi" w:cstheme="minorHAnsi"/>
                <w:szCs w:val="22"/>
              </w:rPr>
              <w:t>59,536.1</w:t>
            </w:r>
          </w:p>
        </w:tc>
        <w:tc>
          <w:tcPr>
            <w:tcW w:w="1872" w:type="dxa"/>
            <w:tcBorders>
              <w:top w:val="single" w:sz="4" w:space="0" w:color="1F497D" w:themeColor="text2"/>
              <w:left w:val="nil"/>
              <w:bottom w:val="nil"/>
              <w:right w:val="nil"/>
            </w:tcBorders>
            <w:vAlign w:val="center"/>
          </w:tcPr>
          <w:p w:rsidR="00EE54A1" w:rsidRPr="00BB2B40" w:rsidRDefault="00EE54A1" w:rsidP="00EE54A1">
            <w:pPr>
              <w:jc w:val="center"/>
              <w:rPr>
                <w:rFonts w:asciiTheme="minorHAnsi" w:hAnsiTheme="minorHAnsi" w:cstheme="minorHAnsi"/>
                <w:szCs w:val="22"/>
              </w:rPr>
            </w:pPr>
            <w:r>
              <w:rPr>
                <w:rFonts w:asciiTheme="minorHAnsi" w:hAnsiTheme="minorHAnsi" w:cstheme="minorHAnsi"/>
                <w:szCs w:val="22"/>
              </w:rPr>
              <w:t>59,548.3</w:t>
            </w:r>
          </w:p>
        </w:tc>
        <w:tc>
          <w:tcPr>
            <w:tcW w:w="1872" w:type="dxa"/>
            <w:tcBorders>
              <w:top w:val="single" w:sz="4" w:space="0" w:color="1F497D" w:themeColor="text2"/>
              <w:left w:val="nil"/>
              <w:bottom w:val="nil"/>
              <w:right w:val="nil"/>
            </w:tcBorders>
            <w:vAlign w:val="center"/>
          </w:tcPr>
          <w:p w:rsidR="00EE54A1" w:rsidRPr="00BB2B40" w:rsidRDefault="00EE54A1" w:rsidP="00EE54A1">
            <w:pPr>
              <w:jc w:val="center"/>
              <w:rPr>
                <w:rFonts w:asciiTheme="minorHAnsi" w:hAnsiTheme="minorHAnsi" w:cstheme="minorHAnsi"/>
                <w:szCs w:val="22"/>
              </w:rPr>
            </w:pPr>
            <w:r>
              <w:rPr>
                <w:rFonts w:asciiTheme="minorHAnsi" w:hAnsiTheme="minorHAnsi" w:cstheme="minorHAnsi"/>
                <w:szCs w:val="22"/>
              </w:rPr>
              <w:t>59,551.0</w:t>
            </w:r>
          </w:p>
        </w:tc>
      </w:tr>
    </w:tbl>
    <w:p w:rsidR="00EE54A1" w:rsidRPr="005E0682" w:rsidRDefault="00EE54A1" w:rsidP="005E0682">
      <w:pPr>
        <w:rPr>
          <w:i/>
        </w:rPr>
      </w:pPr>
    </w:p>
    <w:p w:rsidR="00EE54A1" w:rsidRPr="00EE54A1" w:rsidRDefault="00EE54A1" w:rsidP="00EE54A1">
      <w:pPr>
        <w:rPr>
          <w:i/>
        </w:rPr>
      </w:pPr>
      <w:r>
        <w:rPr>
          <w:i/>
        </w:rPr>
        <w:t xml:space="preserve">4.  </w:t>
      </w:r>
      <w:r w:rsidRPr="00EE54A1">
        <w:rPr>
          <w:i/>
        </w:rPr>
        <w:t xml:space="preserve">Can the </w:t>
      </w:r>
      <w:proofErr w:type="spellStart"/>
      <w:r w:rsidRPr="00EE54A1">
        <w:rPr>
          <w:i/>
        </w:rPr>
        <w:t>Uplan</w:t>
      </w:r>
      <w:proofErr w:type="spellEnd"/>
      <w:r w:rsidRPr="00EE54A1">
        <w:rPr>
          <w:i/>
        </w:rPr>
        <w:t xml:space="preserve"> model used by ERCOT be used to simulate expected system conditions in the year 2030 and the year 2040, in addition to the year 2020 as presented in this study? </w:t>
      </w:r>
      <w:r w:rsidR="008010DC">
        <w:rPr>
          <w:i/>
        </w:rPr>
        <w:t>(</w:t>
      </w:r>
      <w:r w:rsidR="008010DC" w:rsidRPr="00B939E7">
        <w:rPr>
          <w:i/>
        </w:rPr>
        <w:t>Invenergy LLC</w:t>
      </w:r>
      <w:r w:rsidR="008010DC">
        <w:rPr>
          <w:i/>
        </w:rPr>
        <w:t>)</w:t>
      </w:r>
    </w:p>
    <w:p w:rsidR="008010DC" w:rsidRPr="006E3C0B" w:rsidRDefault="008010DC" w:rsidP="008010DC">
      <w:r>
        <w:t xml:space="preserve">A.  </w:t>
      </w:r>
      <w:r w:rsidRPr="00130A3E">
        <w:t xml:space="preserve">While ERCOT does conduct long-term planning studies (the current </w:t>
      </w:r>
      <w:r>
        <w:t xml:space="preserve">Long-Term System Assessment </w:t>
      </w:r>
      <w:r w:rsidRPr="00130A3E">
        <w:t>analysis runs through the year 2033), these long-term studies have input assumptions that are not consistent with the study conducted on marginal losses.  Adapting these long-term studies to utilize them for</w:t>
      </w:r>
      <w:r>
        <w:t xml:space="preserve"> a</w:t>
      </w:r>
      <w:r w:rsidRPr="00130A3E">
        <w:t xml:space="preserve"> marginal loss study would require significant</w:t>
      </w:r>
      <w:r>
        <w:t xml:space="preserve"> effort.</w:t>
      </w:r>
    </w:p>
    <w:p w:rsidR="005E0682" w:rsidRDefault="005E0682" w:rsidP="00FC3784">
      <w:pPr>
        <w:rPr>
          <w:i/>
        </w:rPr>
      </w:pPr>
    </w:p>
    <w:p w:rsidR="00161F6A" w:rsidRPr="008010DC" w:rsidRDefault="008010DC" w:rsidP="00FC3784">
      <w:pPr>
        <w:rPr>
          <w:i/>
        </w:rPr>
      </w:pPr>
      <w:r>
        <w:rPr>
          <w:i/>
        </w:rPr>
        <w:t xml:space="preserve">5.  </w:t>
      </w:r>
      <w:r w:rsidRPr="008010DC">
        <w:rPr>
          <w:i/>
        </w:rPr>
        <w:t xml:space="preserve">Can the model forecast how the generation mix will change, if marginal losses are implemented? </w:t>
      </w:r>
      <w:r>
        <w:rPr>
          <w:i/>
        </w:rPr>
        <w:t>(</w:t>
      </w:r>
      <w:r w:rsidRPr="00B939E7">
        <w:rPr>
          <w:i/>
        </w:rPr>
        <w:t>Invenergy LLC</w:t>
      </w:r>
      <w:r>
        <w:rPr>
          <w:i/>
        </w:rPr>
        <w:t>)</w:t>
      </w:r>
    </w:p>
    <w:p w:rsidR="008010DC" w:rsidRPr="006E3C0B" w:rsidRDefault="008010DC" w:rsidP="008010DC">
      <w:r>
        <w:t xml:space="preserve">A.  </w:t>
      </w:r>
      <w:r w:rsidRPr="00130A3E">
        <w:t xml:space="preserve">The </w:t>
      </w:r>
      <w:proofErr w:type="spellStart"/>
      <w:r w:rsidRPr="00130A3E">
        <w:t>Uplan</w:t>
      </w:r>
      <w:proofErr w:type="spellEnd"/>
      <w:r w:rsidRPr="00130A3E">
        <w:t xml:space="preserve"> model, with the input data utilized in this study, cannot be used to forecast how the generation mix will change over time.</w:t>
      </w:r>
    </w:p>
    <w:p w:rsidR="005E0682" w:rsidRDefault="005E0682" w:rsidP="008010DC">
      <w:pPr>
        <w:rPr>
          <w:i/>
        </w:rPr>
      </w:pPr>
    </w:p>
    <w:p w:rsidR="008010DC" w:rsidRDefault="008010DC" w:rsidP="008010DC">
      <w:pPr>
        <w:rPr>
          <w:i/>
        </w:rPr>
      </w:pPr>
      <w:r>
        <w:rPr>
          <w:i/>
        </w:rPr>
        <w:t xml:space="preserve">6.  </w:t>
      </w:r>
      <w:r w:rsidRPr="008010DC">
        <w:rPr>
          <w:i/>
        </w:rPr>
        <w:t>Will ERCOT please provide the LMP data and dispatch outcomes in an hourly format for the marginal losses study?  We would like to see the data in an Excel, csv, or pdf format.</w:t>
      </w:r>
      <w:r>
        <w:rPr>
          <w:i/>
        </w:rPr>
        <w:t xml:space="preserve"> (STEC)</w:t>
      </w:r>
    </w:p>
    <w:p w:rsidR="005E0682" w:rsidRPr="009675E5" w:rsidRDefault="009675E5" w:rsidP="008010DC">
      <w:r>
        <w:t xml:space="preserve">A.  </w:t>
      </w:r>
      <w:r w:rsidRPr="009675E5">
        <w:t>The requested data is being provided in a separate .csv file.</w:t>
      </w:r>
    </w:p>
    <w:p w:rsidR="009675E5" w:rsidRDefault="009675E5" w:rsidP="008010DC">
      <w:pPr>
        <w:rPr>
          <w:i/>
        </w:rPr>
      </w:pPr>
    </w:p>
    <w:p w:rsidR="008010DC" w:rsidRDefault="008010DC" w:rsidP="008010DC">
      <w:pPr>
        <w:rPr>
          <w:i/>
        </w:rPr>
      </w:pPr>
      <w:r>
        <w:rPr>
          <w:i/>
        </w:rPr>
        <w:t xml:space="preserve">7.  </w:t>
      </w:r>
      <w:r w:rsidRPr="008010DC">
        <w:rPr>
          <w:i/>
        </w:rPr>
        <w:t>Why did ERCOT choose not choose a high gas case that mirrored the low gas case (e.g. $1 higher for the high gas case)?  What would the outcomes look like for a higher gas case?</w:t>
      </w:r>
      <w:r>
        <w:rPr>
          <w:i/>
        </w:rPr>
        <w:t xml:space="preserve"> (STEC)</w:t>
      </w:r>
    </w:p>
    <w:p w:rsidR="008010DC" w:rsidRPr="006E3C0B" w:rsidRDefault="008010DC" w:rsidP="008010DC">
      <w:r>
        <w:t xml:space="preserve">A.  </w:t>
      </w:r>
      <w:r w:rsidR="009675E5">
        <w:t>ERCOT selected the natural gas forecast for the high gas price case based on the gas price forecast assessment and conversations with stakeholders conducted as part of the 2018 Regional Transmission Plan (RTP).  The high gas price case forecast was determined to be adequate for this study based on the change noted in the production cost results, as compared to the base case.  ERCOT does not know what the impact of a higher gas price would be on the model results</w:t>
      </w:r>
      <w:r w:rsidRPr="00130A3E">
        <w:t>.</w:t>
      </w:r>
    </w:p>
    <w:p w:rsidR="005E0682" w:rsidRDefault="005E0682" w:rsidP="008010DC">
      <w:pPr>
        <w:rPr>
          <w:i/>
        </w:rPr>
      </w:pPr>
    </w:p>
    <w:p w:rsidR="008010DC" w:rsidRDefault="008010DC" w:rsidP="008010DC">
      <w:pPr>
        <w:rPr>
          <w:i/>
        </w:rPr>
      </w:pPr>
      <w:r>
        <w:rPr>
          <w:i/>
        </w:rPr>
        <w:t xml:space="preserve">8.  </w:t>
      </w:r>
      <w:r w:rsidRPr="008010DC">
        <w:rPr>
          <w:i/>
        </w:rPr>
        <w:t>ERCOT notes that “The lack of production cost savings in the high gas price case is likely due in part to the increased competitiveness of coal fired units, which are more distant from urban load centers, as gas prices increase.”  However, if coal is displacing gas in the high gas price sensitivity, the “Total Annual Generation” table indicates a decrease in load served as coal generation increases which would seem to indicate that system losses decrease as coal generation increases.  Can ERCOT please reconcile these two statements?</w:t>
      </w:r>
      <w:r>
        <w:rPr>
          <w:i/>
        </w:rPr>
        <w:t xml:space="preserve"> (STEC)</w:t>
      </w:r>
    </w:p>
    <w:p w:rsidR="002F28A5" w:rsidRPr="006E3C0B" w:rsidRDefault="002F28A5" w:rsidP="002F28A5">
      <w:r>
        <w:t>A.  While the competition between coal and gas generation resources as gas prices rise is a dominant market factor, your question correctly points out that the model output indicates the actual cause may not be this simple</w:t>
      </w:r>
      <w:r w:rsidRPr="00130A3E">
        <w:t>.</w:t>
      </w:r>
      <w:r w:rsidRPr="002F28A5">
        <w:t xml:space="preserve"> </w:t>
      </w:r>
      <w:r>
        <w:t xml:space="preserve">The model shows that implementation of marginal losses creates greater regionalization of the ERCOT energy market.  One example of this regionalization is shown in the start-up cost changes provided in response to question 13 (below).  So while there are market-wide changes in the competitiveness of coal and gas units as gas prices rise, these changes are affected by the greater regionalization (i.e., greater competition </w:t>
      </w:r>
      <w:r w:rsidR="0079683F">
        <w:t>with</w:t>
      </w:r>
      <w:r>
        <w:t>in regions of the grid) imposed by the use of marginal losses.</w:t>
      </w:r>
    </w:p>
    <w:p w:rsidR="005E0682" w:rsidRDefault="005E0682" w:rsidP="008010DC">
      <w:pPr>
        <w:rPr>
          <w:i/>
        </w:rPr>
      </w:pPr>
    </w:p>
    <w:p w:rsidR="008010DC" w:rsidRDefault="008010DC" w:rsidP="008010DC">
      <w:pPr>
        <w:rPr>
          <w:i/>
        </w:rPr>
      </w:pPr>
      <w:r>
        <w:rPr>
          <w:i/>
        </w:rPr>
        <w:t xml:space="preserve">9.  </w:t>
      </w:r>
      <w:r w:rsidRPr="008010DC">
        <w:rPr>
          <w:i/>
        </w:rPr>
        <w:t>Can ERCOT quantify the marginal loss surplus identified in the study?</w:t>
      </w:r>
      <w:r>
        <w:rPr>
          <w:i/>
        </w:rPr>
        <w:t xml:space="preserve"> (STEC)</w:t>
      </w:r>
    </w:p>
    <w:p w:rsidR="008010DC" w:rsidRPr="006E3C0B" w:rsidRDefault="008010DC" w:rsidP="008010DC">
      <w:r>
        <w:t xml:space="preserve">A.  </w:t>
      </w:r>
      <w:r w:rsidRPr="00C875BF">
        <w:t>These results were provided in response to a question from NRG</w:t>
      </w:r>
      <w:r w:rsidRPr="00130A3E">
        <w:t>.</w:t>
      </w:r>
    </w:p>
    <w:p w:rsidR="005E0682" w:rsidRDefault="005E0682" w:rsidP="008010DC">
      <w:pPr>
        <w:rPr>
          <w:i/>
        </w:rPr>
      </w:pPr>
    </w:p>
    <w:p w:rsidR="008010DC" w:rsidRDefault="008010DC" w:rsidP="008010DC">
      <w:pPr>
        <w:rPr>
          <w:i/>
        </w:rPr>
      </w:pPr>
      <w:r>
        <w:rPr>
          <w:i/>
        </w:rPr>
        <w:t xml:space="preserve">10.  </w:t>
      </w:r>
      <w:r w:rsidR="004578CC" w:rsidRPr="004578CC">
        <w:rPr>
          <w:i/>
        </w:rPr>
        <w:t>How can the marginal loss surplus be allocated without undoing the incentives created by marginal loss implementation</w:t>
      </w:r>
      <w:r w:rsidRPr="008010DC">
        <w:rPr>
          <w:i/>
        </w:rPr>
        <w:t>?</w:t>
      </w:r>
      <w:r>
        <w:rPr>
          <w:i/>
        </w:rPr>
        <w:t xml:space="preserve"> (STEC)</w:t>
      </w:r>
    </w:p>
    <w:p w:rsidR="004578CC" w:rsidRPr="006E3C0B" w:rsidRDefault="004578CC" w:rsidP="004578CC">
      <w:r>
        <w:t xml:space="preserve">A.  </w:t>
      </w:r>
      <w:r w:rsidRPr="00C875BF">
        <w:t>ERCOT does not have an opinion at this time regarding allocation of the marginal loss surplus</w:t>
      </w:r>
      <w:r w:rsidRPr="00130A3E">
        <w:t>.</w:t>
      </w:r>
    </w:p>
    <w:p w:rsidR="005E0682" w:rsidRDefault="005E0682" w:rsidP="004578CC">
      <w:pPr>
        <w:rPr>
          <w:i/>
        </w:rPr>
      </w:pPr>
    </w:p>
    <w:p w:rsidR="004578CC" w:rsidRDefault="004578CC" w:rsidP="004578CC">
      <w:pPr>
        <w:rPr>
          <w:i/>
        </w:rPr>
      </w:pPr>
      <w:r>
        <w:rPr>
          <w:i/>
        </w:rPr>
        <w:t xml:space="preserve">11.  </w:t>
      </w:r>
      <w:r w:rsidRPr="004578CC">
        <w:rPr>
          <w:i/>
        </w:rPr>
        <w:t>Please provide the modeled changes in generator revenues from ancillary services.</w:t>
      </w:r>
      <w:r>
        <w:rPr>
          <w:i/>
        </w:rPr>
        <w:t xml:space="preserve"> (</w:t>
      </w:r>
      <w:proofErr w:type="spellStart"/>
      <w:r>
        <w:rPr>
          <w:i/>
        </w:rPr>
        <w:t>Vistra</w:t>
      </w:r>
      <w:proofErr w:type="spellEnd"/>
      <w:r>
        <w:rPr>
          <w:i/>
        </w:rPr>
        <w:t>)</w:t>
      </w:r>
    </w:p>
    <w:p w:rsidR="004578CC" w:rsidRPr="006E3C0B" w:rsidRDefault="004578CC" w:rsidP="004578CC">
      <w:r>
        <w:t xml:space="preserve">A.  </w:t>
      </w:r>
      <w:r w:rsidRPr="004578CC">
        <w:t>Ancillary service costs and revenues were not assessed as part of this study.  The unit commitment requirements to account for ancillary services were not changed across the 6 runs included in the study results</w:t>
      </w:r>
      <w:r w:rsidRPr="00130A3E">
        <w:t>.</w:t>
      </w:r>
    </w:p>
    <w:p w:rsidR="005E0682" w:rsidRDefault="005E0682" w:rsidP="004578CC">
      <w:pPr>
        <w:rPr>
          <w:i/>
        </w:rPr>
      </w:pPr>
    </w:p>
    <w:p w:rsidR="004578CC" w:rsidRDefault="004578CC" w:rsidP="004578CC">
      <w:pPr>
        <w:rPr>
          <w:i/>
        </w:rPr>
      </w:pPr>
      <w:r>
        <w:rPr>
          <w:i/>
        </w:rPr>
        <w:t xml:space="preserve">12.  </w:t>
      </w:r>
      <w:r w:rsidRPr="004578CC">
        <w:rPr>
          <w:i/>
        </w:rPr>
        <w:t>Please provide the changes to annual unit revenue shortfalls by zone.</w:t>
      </w:r>
      <w:r>
        <w:rPr>
          <w:i/>
        </w:rPr>
        <w:t xml:space="preserve"> (</w:t>
      </w:r>
      <w:proofErr w:type="spellStart"/>
      <w:r>
        <w:rPr>
          <w:i/>
        </w:rPr>
        <w:t>Vistra</w:t>
      </w:r>
      <w:proofErr w:type="spellEnd"/>
      <w:r>
        <w:rPr>
          <w:i/>
        </w:rPr>
        <w:t>)</w:t>
      </w:r>
    </w:p>
    <w:p w:rsidR="004578CC" w:rsidRDefault="004578CC" w:rsidP="004578CC">
      <w:r>
        <w:t xml:space="preserve">A.  </w:t>
      </w:r>
      <w:r w:rsidRPr="007B7B6E">
        <w:t xml:space="preserve">The </w:t>
      </w:r>
      <w:r>
        <w:t>changes to the annual unit revenue shortfalls</w:t>
      </w:r>
      <w:r w:rsidRPr="007B7B6E">
        <w:t xml:space="preserve"> reported by the model for the base case and two sensitivities are</w:t>
      </w:r>
      <w:r>
        <w:t xml:space="preserve"> provided in the following table</w:t>
      </w:r>
      <w:r w:rsidRPr="007B7B6E">
        <w:t>:</w:t>
      </w:r>
    </w:p>
    <w:p w:rsidR="005E0682" w:rsidRPr="007B7B6E" w:rsidRDefault="005E0682" w:rsidP="004578CC"/>
    <w:p w:rsidR="004578CC" w:rsidRPr="005A4BE6" w:rsidRDefault="004578CC" w:rsidP="004578CC">
      <w:pPr>
        <w:widowControl w:val="0"/>
        <w:autoSpaceDE w:val="0"/>
        <w:autoSpaceDN w:val="0"/>
        <w:adjustRightInd w:val="0"/>
        <w:spacing w:line="360" w:lineRule="auto"/>
        <w:jc w:val="center"/>
        <w:rPr>
          <w:rFonts w:cstheme="minorHAnsi"/>
          <w:b/>
          <w:color w:val="000000"/>
        </w:rPr>
      </w:pPr>
      <w:r>
        <w:rPr>
          <w:rFonts w:cstheme="minorHAnsi"/>
          <w:b/>
          <w:color w:val="000000"/>
        </w:rPr>
        <w:t>Change in Annual Unit Revenue Shortfall (in $M)</w:t>
      </w:r>
    </w:p>
    <w:tbl>
      <w:tblPr>
        <w:tblStyle w:val="TableGrid"/>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545"/>
        <w:gridCol w:w="1872"/>
        <w:gridCol w:w="1872"/>
        <w:gridCol w:w="1872"/>
      </w:tblGrid>
      <w:tr w:rsidR="004578CC" w:rsidRPr="003E0171" w:rsidTr="004578CC">
        <w:trPr>
          <w:trHeight w:val="576"/>
          <w:jc w:val="center"/>
        </w:trPr>
        <w:tc>
          <w:tcPr>
            <w:tcW w:w="2545" w:type="dxa"/>
            <w:tcBorders>
              <w:top w:val="single" w:sz="4" w:space="0" w:color="1F497D" w:themeColor="text2"/>
              <w:left w:val="single" w:sz="4" w:space="0" w:color="1F497D" w:themeColor="text2"/>
              <w:bottom w:val="nil"/>
              <w:right w:val="nil"/>
            </w:tcBorders>
            <w:shd w:val="solid" w:color="003865" w:fill="auto"/>
            <w:vAlign w:val="center"/>
          </w:tcPr>
          <w:p w:rsidR="004578CC" w:rsidRPr="00BB2B40" w:rsidRDefault="004578CC" w:rsidP="004578CC">
            <w:pPr>
              <w:rPr>
                <w:rFonts w:asciiTheme="minorHAnsi" w:hAnsiTheme="minorHAnsi" w:cstheme="minorHAnsi"/>
                <w:b/>
                <w:szCs w:val="22"/>
              </w:rPr>
            </w:pPr>
          </w:p>
        </w:tc>
        <w:tc>
          <w:tcPr>
            <w:tcW w:w="1872" w:type="dxa"/>
            <w:tcBorders>
              <w:top w:val="single" w:sz="4" w:space="0" w:color="1F497D" w:themeColor="text2"/>
              <w:left w:val="nil"/>
              <w:bottom w:val="nil"/>
              <w:right w:val="nil"/>
            </w:tcBorders>
            <w:shd w:val="solid" w:color="003865" w:fill="auto"/>
            <w:vAlign w:val="center"/>
          </w:tcPr>
          <w:p w:rsidR="004578CC" w:rsidRPr="00BB2B40" w:rsidRDefault="004578CC" w:rsidP="004578CC">
            <w:pPr>
              <w:jc w:val="center"/>
              <w:rPr>
                <w:rFonts w:asciiTheme="minorHAnsi" w:hAnsiTheme="minorHAnsi" w:cstheme="minorHAnsi"/>
                <w:b/>
                <w:szCs w:val="22"/>
              </w:rPr>
            </w:pPr>
            <w:r w:rsidRPr="00BB2B40">
              <w:rPr>
                <w:rFonts w:asciiTheme="minorHAnsi" w:hAnsiTheme="minorHAnsi" w:cstheme="minorHAnsi"/>
                <w:b/>
                <w:szCs w:val="22"/>
              </w:rPr>
              <w:t xml:space="preserve">Low Gas </w:t>
            </w:r>
            <w:r>
              <w:rPr>
                <w:rFonts w:asciiTheme="minorHAnsi" w:hAnsiTheme="minorHAnsi" w:cstheme="minorHAnsi"/>
                <w:b/>
                <w:szCs w:val="22"/>
              </w:rPr>
              <w:br/>
            </w:r>
            <w:r w:rsidRPr="00BB2B40">
              <w:rPr>
                <w:rFonts w:asciiTheme="minorHAnsi" w:hAnsiTheme="minorHAnsi" w:cstheme="minorHAnsi"/>
                <w:b/>
                <w:szCs w:val="22"/>
              </w:rPr>
              <w:t>Price Case</w:t>
            </w:r>
          </w:p>
        </w:tc>
        <w:tc>
          <w:tcPr>
            <w:tcW w:w="1872" w:type="dxa"/>
            <w:tcBorders>
              <w:top w:val="single" w:sz="4" w:space="0" w:color="1F497D" w:themeColor="text2"/>
              <w:left w:val="nil"/>
              <w:bottom w:val="nil"/>
              <w:right w:val="nil"/>
            </w:tcBorders>
            <w:shd w:val="solid" w:color="003865" w:fill="auto"/>
            <w:vAlign w:val="center"/>
          </w:tcPr>
          <w:p w:rsidR="004578CC" w:rsidRPr="00BB2B40" w:rsidRDefault="004578CC" w:rsidP="004578CC">
            <w:pPr>
              <w:jc w:val="center"/>
              <w:rPr>
                <w:rFonts w:asciiTheme="minorHAnsi" w:hAnsiTheme="minorHAnsi" w:cstheme="minorHAnsi"/>
                <w:b/>
                <w:szCs w:val="22"/>
              </w:rPr>
            </w:pPr>
            <w:r w:rsidRPr="00BB2B40">
              <w:rPr>
                <w:rFonts w:asciiTheme="minorHAnsi" w:hAnsiTheme="minorHAnsi" w:cstheme="minorHAnsi"/>
                <w:b/>
                <w:szCs w:val="22"/>
              </w:rPr>
              <w:t>Base Case</w:t>
            </w:r>
          </w:p>
        </w:tc>
        <w:tc>
          <w:tcPr>
            <w:tcW w:w="1872" w:type="dxa"/>
            <w:tcBorders>
              <w:top w:val="single" w:sz="4" w:space="0" w:color="1F497D" w:themeColor="text2"/>
              <w:left w:val="nil"/>
              <w:bottom w:val="nil"/>
              <w:right w:val="single" w:sz="4" w:space="0" w:color="1F497D" w:themeColor="text2"/>
            </w:tcBorders>
            <w:shd w:val="solid" w:color="003865" w:fill="auto"/>
            <w:vAlign w:val="center"/>
          </w:tcPr>
          <w:p w:rsidR="004578CC" w:rsidRPr="00BB2B40" w:rsidRDefault="004578CC" w:rsidP="004578CC">
            <w:pPr>
              <w:jc w:val="center"/>
              <w:rPr>
                <w:rFonts w:asciiTheme="minorHAnsi" w:hAnsiTheme="minorHAnsi" w:cstheme="minorHAnsi"/>
                <w:b/>
                <w:szCs w:val="22"/>
              </w:rPr>
            </w:pPr>
            <w:r w:rsidRPr="00BB2B40">
              <w:rPr>
                <w:rFonts w:asciiTheme="minorHAnsi" w:hAnsiTheme="minorHAnsi" w:cstheme="minorHAnsi"/>
                <w:b/>
                <w:szCs w:val="22"/>
              </w:rPr>
              <w:t xml:space="preserve">High Gas </w:t>
            </w:r>
            <w:r>
              <w:rPr>
                <w:rFonts w:asciiTheme="minorHAnsi" w:hAnsiTheme="minorHAnsi" w:cstheme="minorHAnsi"/>
                <w:b/>
                <w:szCs w:val="22"/>
              </w:rPr>
              <w:br/>
            </w:r>
            <w:r w:rsidRPr="00BB2B40">
              <w:rPr>
                <w:rFonts w:asciiTheme="minorHAnsi" w:hAnsiTheme="minorHAnsi" w:cstheme="minorHAnsi"/>
                <w:b/>
                <w:szCs w:val="22"/>
              </w:rPr>
              <w:t>Price Case</w:t>
            </w:r>
          </w:p>
        </w:tc>
      </w:tr>
      <w:tr w:rsidR="004578CC" w:rsidRPr="003E0171" w:rsidTr="004578CC">
        <w:trPr>
          <w:trHeight w:val="576"/>
          <w:jc w:val="center"/>
        </w:trPr>
        <w:tc>
          <w:tcPr>
            <w:tcW w:w="2545" w:type="dxa"/>
            <w:tcBorders>
              <w:top w:val="nil"/>
              <w:left w:val="nil"/>
              <w:bottom w:val="single" w:sz="4" w:space="0" w:color="1F497D" w:themeColor="text2"/>
              <w:right w:val="nil"/>
            </w:tcBorders>
            <w:vAlign w:val="center"/>
          </w:tcPr>
          <w:p w:rsidR="004578CC" w:rsidRPr="00BB2B40" w:rsidRDefault="004578CC" w:rsidP="004578CC">
            <w:pPr>
              <w:rPr>
                <w:rFonts w:asciiTheme="minorHAnsi" w:hAnsiTheme="minorHAnsi" w:cstheme="minorHAnsi"/>
                <w:szCs w:val="22"/>
              </w:rPr>
            </w:pPr>
            <w:r>
              <w:rPr>
                <w:rFonts w:asciiTheme="minorHAnsi" w:hAnsiTheme="minorHAnsi" w:cstheme="minorHAnsi"/>
                <w:szCs w:val="22"/>
              </w:rPr>
              <w:t>Houston Zone</w:t>
            </w:r>
          </w:p>
        </w:tc>
        <w:tc>
          <w:tcPr>
            <w:tcW w:w="1872" w:type="dxa"/>
            <w:tcBorders>
              <w:top w:val="nil"/>
              <w:left w:val="nil"/>
              <w:bottom w:val="single" w:sz="4" w:space="0" w:color="1F497D" w:themeColor="text2"/>
              <w:right w:val="nil"/>
            </w:tcBorders>
            <w:vAlign w:val="center"/>
          </w:tcPr>
          <w:p w:rsidR="004578CC" w:rsidRPr="00BB2B40" w:rsidRDefault="004578CC" w:rsidP="004578CC">
            <w:pPr>
              <w:jc w:val="center"/>
              <w:rPr>
                <w:rFonts w:asciiTheme="minorHAnsi" w:hAnsiTheme="minorHAnsi" w:cstheme="minorHAnsi"/>
                <w:szCs w:val="22"/>
              </w:rPr>
            </w:pPr>
            <w:r>
              <w:rPr>
                <w:rFonts w:asciiTheme="minorHAnsi" w:hAnsiTheme="minorHAnsi" w:cstheme="minorHAnsi"/>
                <w:szCs w:val="22"/>
              </w:rPr>
              <w:t>4.1</w:t>
            </w:r>
          </w:p>
        </w:tc>
        <w:tc>
          <w:tcPr>
            <w:tcW w:w="1872" w:type="dxa"/>
            <w:tcBorders>
              <w:top w:val="nil"/>
              <w:left w:val="nil"/>
              <w:bottom w:val="single" w:sz="4" w:space="0" w:color="1F497D" w:themeColor="text2"/>
              <w:right w:val="nil"/>
            </w:tcBorders>
            <w:vAlign w:val="center"/>
          </w:tcPr>
          <w:p w:rsidR="004578CC" w:rsidRPr="00BB2B40" w:rsidRDefault="004578CC" w:rsidP="004578CC">
            <w:pPr>
              <w:jc w:val="center"/>
              <w:rPr>
                <w:rFonts w:asciiTheme="minorHAnsi" w:hAnsiTheme="minorHAnsi" w:cstheme="minorHAnsi"/>
                <w:szCs w:val="22"/>
              </w:rPr>
            </w:pPr>
            <w:r>
              <w:rPr>
                <w:rFonts w:asciiTheme="minorHAnsi" w:hAnsiTheme="minorHAnsi" w:cstheme="minorHAnsi"/>
                <w:szCs w:val="22"/>
              </w:rPr>
              <w:t>1.2</w:t>
            </w:r>
          </w:p>
        </w:tc>
        <w:tc>
          <w:tcPr>
            <w:tcW w:w="1872" w:type="dxa"/>
            <w:tcBorders>
              <w:top w:val="nil"/>
              <w:left w:val="nil"/>
              <w:bottom w:val="single" w:sz="4" w:space="0" w:color="1F497D" w:themeColor="text2"/>
              <w:right w:val="nil"/>
            </w:tcBorders>
            <w:vAlign w:val="center"/>
          </w:tcPr>
          <w:p w:rsidR="004578CC" w:rsidRPr="00BB2B40" w:rsidRDefault="004578CC" w:rsidP="004578CC">
            <w:pPr>
              <w:jc w:val="center"/>
              <w:rPr>
                <w:rFonts w:asciiTheme="minorHAnsi" w:hAnsiTheme="minorHAnsi" w:cstheme="minorHAnsi"/>
                <w:szCs w:val="22"/>
              </w:rPr>
            </w:pPr>
            <w:r>
              <w:rPr>
                <w:rFonts w:asciiTheme="minorHAnsi" w:hAnsiTheme="minorHAnsi" w:cstheme="minorHAnsi"/>
                <w:szCs w:val="22"/>
              </w:rPr>
              <w:t>4.5</w:t>
            </w:r>
          </w:p>
        </w:tc>
      </w:tr>
      <w:tr w:rsidR="004578CC" w:rsidRPr="000A4D5C" w:rsidTr="004578CC">
        <w:trPr>
          <w:trHeight w:val="576"/>
          <w:jc w:val="center"/>
        </w:trPr>
        <w:tc>
          <w:tcPr>
            <w:tcW w:w="2545" w:type="dxa"/>
            <w:tcBorders>
              <w:top w:val="single" w:sz="4" w:space="0" w:color="1F497D" w:themeColor="text2"/>
              <w:left w:val="nil"/>
              <w:bottom w:val="single" w:sz="4" w:space="0" w:color="1F497D" w:themeColor="text2"/>
              <w:right w:val="nil"/>
            </w:tcBorders>
            <w:vAlign w:val="center"/>
          </w:tcPr>
          <w:p w:rsidR="004578CC" w:rsidRPr="000A4D5C" w:rsidRDefault="004578CC" w:rsidP="004578CC">
            <w:pPr>
              <w:rPr>
                <w:rFonts w:asciiTheme="minorHAnsi" w:hAnsiTheme="minorHAnsi" w:cstheme="minorHAnsi"/>
                <w:szCs w:val="22"/>
              </w:rPr>
            </w:pPr>
            <w:r w:rsidRPr="000A4D5C">
              <w:rPr>
                <w:rFonts w:asciiTheme="minorHAnsi" w:hAnsiTheme="minorHAnsi" w:cstheme="minorHAnsi"/>
                <w:szCs w:val="22"/>
              </w:rPr>
              <w:t xml:space="preserve">North </w:t>
            </w:r>
            <w:r>
              <w:rPr>
                <w:rFonts w:asciiTheme="minorHAnsi" w:hAnsiTheme="minorHAnsi" w:cstheme="minorHAnsi"/>
                <w:szCs w:val="22"/>
              </w:rPr>
              <w:t>Zone</w:t>
            </w:r>
          </w:p>
        </w:tc>
        <w:tc>
          <w:tcPr>
            <w:tcW w:w="1872" w:type="dxa"/>
            <w:tcBorders>
              <w:top w:val="single" w:sz="4" w:space="0" w:color="1F497D" w:themeColor="text2"/>
              <w:left w:val="nil"/>
              <w:bottom w:val="single" w:sz="4" w:space="0" w:color="1F497D" w:themeColor="text2"/>
              <w:right w:val="nil"/>
            </w:tcBorders>
            <w:vAlign w:val="center"/>
          </w:tcPr>
          <w:p w:rsidR="004578CC" w:rsidRPr="000A4D5C" w:rsidRDefault="004578CC" w:rsidP="004578CC">
            <w:pPr>
              <w:jc w:val="center"/>
              <w:rPr>
                <w:rFonts w:asciiTheme="minorHAnsi" w:hAnsiTheme="minorHAnsi" w:cstheme="minorHAnsi"/>
                <w:szCs w:val="22"/>
              </w:rPr>
            </w:pPr>
            <w:r>
              <w:rPr>
                <w:rFonts w:asciiTheme="minorHAnsi" w:hAnsiTheme="minorHAnsi" w:cstheme="minorHAnsi"/>
                <w:szCs w:val="22"/>
              </w:rPr>
              <w:t>11.4</w:t>
            </w:r>
          </w:p>
        </w:tc>
        <w:tc>
          <w:tcPr>
            <w:tcW w:w="1872" w:type="dxa"/>
            <w:tcBorders>
              <w:top w:val="single" w:sz="4" w:space="0" w:color="1F497D" w:themeColor="text2"/>
              <w:left w:val="nil"/>
              <w:bottom w:val="single" w:sz="4" w:space="0" w:color="1F497D" w:themeColor="text2"/>
              <w:right w:val="nil"/>
            </w:tcBorders>
            <w:vAlign w:val="center"/>
          </w:tcPr>
          <w:p w:rsidR="004578CC" w:rsidRPr="000A4D5C" w:rsidRDefault="004578CC" w:rsidP="004578CC">
            <w:pPr>
              <w:jc w:val="center"/>
              <w:rPr>
                <w:rFonts w:asciiTheme="minorHAnsi" w:hAnsiTheme="minorHAnsi" w:cstheme="minorHAnsi"/>
                <w:szCs w:val="22"/>
              </w:rPr>
            </w:pPr>
            <w:r>
              <w:rPr>
                <w:rFonts w:asciiTheme="minorHAnsi" w:hAnsiTheme="minorHAnsi" w:cstheme="minorHAnsi"/>
                <w:szCs w:val="22"/>
              </w:rPr>
              <w:t>28.7</w:t>
            </w:r>
          </w:p>
        </w:tc>
        <w:tc>
          <w:tcPr>
            <w:tcW w:w="1872" w:type="dxa"/>
            <w:tcBorders>
              <w:top w:val="single" w:sz="4" w:space="0" w:color="1F497D" w:themeColor="text2"/>
              <w:left w:val="nil"/>
              <w:bottom w:val="single" w:sz="4" w:space="0" w:color="1F497D" w:themeColor="text2"/>
              <w:right w:val="nil"/>
            </w:tcBorders>
            <w:vAlign w:val="center"/>
          </w:tcPr>
          <w:p w:rsidR="004578CC" w:rsidRPr="000A4D5C" w:rsidRDefault="004578CC" w:rsidP="004578CC">
            <w:pPr>
              <w:jc w:val="center"/>
              <w:rPr>
                <w:rFonts w:asciiTheme="minorHAnsi" w:hAnsiTheme="minorHAnsi" w:cstheme="minorHAnsi"/>
                <w:szCs w:val="22"/>
              </w:rPr>
            </w:pPr>
            <w:r>
              <w:rPr>
                <w:rFonts w:asciiTheme="minorHAnsi" w:hAnsiTheme="minorHAnsi" w:cstheme="minorHAnsi"/>
                <w:szCs w:val="22"/>
              </w:rPr>
              <w:t>35.0</w:t>
            </w:r>
          </w:p>
        </w:tc>
      </w:tr>
      <w:tr w:rsidR="004578CC" w:rsidRPr="000A4D5C" w:rsidTr="004578CC">
        <w:trPr>
          <w:trHeight w:val="576"/>
          <w:jc w:val="center"/>
        </w:trPr>
        <w:tc>
          <w:tcPr>
            <w:tcW w:w="2545" w:type="dxa"/>
            <w:tcBorders>
              <w:top w:val="single" w:sz="4" w:space="0" w:color="1F497D" w:themeColor="text2"/>
              <w:left w:val="nil"/>
              <w:bottom w:val="single" w:sz="4" w:space="0" w:color="1F497D" w:themeColor="text2"/>
              <w:right w:val="nil"/>
            </w:tcBorders>
            <w:vAlign w:val="center"/>
          </w:tcPr>
          <w:p w:rsidR="004578CC" w:rsidRPr="000A4D5C" w:rsidRDefault="004578CC" w:rsidP="004578CC">
            <w:pPr>
              <w:rPr>
                <w:rFonts w:asciiTheme="minorHAnsi" w:hAnsiTheme="minorHAnsi" w:cstheme="minorHAnsi"/>
                <w:szCs w:val="22"/>
              </w:rPr>
            </w:pPr>
            <w:r w:rsidRPr="000A4D5C">
              <w:rPr>
                <w:rFonts w:asciiTheme="minorHAnsi" w:hAnsiTheme="minorHAnsi" w:cstheme="minorHAnsi"/>
                <w:szCs w:val="22"/>
              </w:rPr>
              <w:t>South Zone</w:t>
            </w:r>
          </w:p>
        </w:tc>
        <w:tc>
          <w:tcPr>
            <w:tcW w:w="1872" w:type="dxa"/>
            <w:tcBorders>
              <w:top w:val="single" w:sz="4" w:space="0" w:color="1F497D" w:themeColor="text2"/>
              <w:left w:val="nil"/>
              <w:bottom w:val="single" w:sz="4" w:space="0" w:color="1F497D" w:themeColor="text2"/>
              <w:right w:val="nil"/>
            </w:tcBorders>
            <w:vAlign w:val="center"/>
          </w:tcPr>
          <w:p w:rsidR="004578CC" w:rsidRPr="000A4D5C" w:rsidRDefault="004578CC" w:rsidP="004578CC">
            <w:pPr>
              <w:jc w:val="center"/>
              <w:rPr>
                <w:rFonts w:asciiTheme="minorHAnsi" w:hAnsiTheme="minorHAnsi" w:cstheme="minorHAnsi"/>
                <w:szCs w:val="22"/>
              </w:rPr>
            </w:pPr>
            <w:r>
              <w:rPr>
                <w:rFonts w:asciiTheme="minorHAnsi" w:hAnsiTheme="minorHAnsi" w:cstheme="minorHAnsi"/>
                <w:szCs w:val="22"/>
              </w:rPr>
              <w:t>4.9</w:t>
            </w:r>
          </w:p>
        </w:tc>
        <w:tc>
          <w:tcPr>
            <w:tcW w:w="1872" w:type="dxa"/>
            <w:tcBorders>
              <w:top w:val="single" w:sz="4" w:space="0" w:color="1F497D" w:themeColor="text2"/>
              <w:left w:val="nil"/>
              <w:bottom w:val="single" w:sz="4" w:space="0" w:color="1F497D" w:themeColor="text2"/>
              <w:right w:val="nil"/>
            </w:tcBorders>
            <w:vAlign w:val="center"/>
          </w:tcPr>
          <w:p w:rsidR="004578CC" w:rsidRPr="000A4D5C" w:rsidRDefault="004578CC" w:rsidP="004578CC">
            <w:pPr>
              <w:jc w:val="center"/>
              <w:rPr>
                <w:rFonts w:asciiTheme="minorHAnsi" w:hAnsiTheme="minorHAnsi" w:cstheme="minorHAnsi"/>
                <w:szCs w:val="22"/>
              </w:rPr>
            </w:pPr>
            <w:r>
              <w:rPr>
                <w:rFonts w:asciiTheme="minorHAnsi" w:hAnsiTheme="minorHAnsi" w:cstheme="minorHAnsi"/>
                <w:szCs w:val="22"/>
              </w:rPr>
              <w:t>13.8</w:t>
            </w:r>
          </w:p>
        </w:tc>
        <w:tc>
          <w:tcPr>
            <w:tcW w:w="1872" w:type="dxa"/>
            <w:tcBorders>
              <w:top w:val="single" w:sz="4" w:space="0" w:color="1F497D" w:themeColor="text2"/>
              <w:left w:val="nil"/>
              <w:bottom w:val="single" w:sz="4" w:space="0" w:color="1F497D" w:themeColor="text2"/>
              <w:right w:val="nil"/>
            </w:tcBorders>
            <w:vAlign w:val="center"/>
          </w:tcPr>
          <w:p w:rsidR="004578CC" w:rsidRPr="000A4D5C" w:rsidRDefault="004578CC" w:rsidP="004578CC">
            <w:pPr>
              <w:jc w:val="center"/>
              <w:rPr>
                <w:rFonts w:asciiTheme="minorHAnsi" w:hAnsiTheme="minorHAnsi" w:cstheme="minorHAnsi"/>
                <w:szCs w:val="22"/>
              </w:rPr>
            </w:pPr>
            <w:r>
              <w:rPr>
                <w:rFonts w:asciiTheme="minorHAnsi" w:hAnsiTheme="minorHAnsi" w:cstheme="minorHAnsi"/>
                <w:szCs w:val="22"/>
              </w:rPr>
              <w:t>25.9</w:t>
            </w:r>
          </w:p>
        </w:tc>
      </w:tr>
      <w:tr w:rsidR="004578CC" w:rsidRPr="000A4D5C" w:rsidTr="004578CC">
        <w:trPr>
          <w:trHeight w:val="576"/>
          <w:jc w:val="center"/>
        </w:trPr>
        <w:tc>
          <w:tcPr>
            <w:tcW w:w="2545" w:type="dxa"/>
            <w:tcBorders>
              <w:top w:val="single" w:sz="4" w:space="0" w:color="1F497D" w:themeColor="text2"/>
              <w:left w:val="nil"/>
              <w:bottom w:val="nil"/>
              <w:right w:val="nil"/>
            </w:tcBorders>
            <w:vAlign w:val="center"/>
          </w:tcPr>
          <w:p w:rsidR="004578CC" w:rsidRPr="000A4D5C" w:rsidRDefault="004578CC" w:rsidP="004578CC">
            <w:pPr>
              <w:rPr>
                <w:rFonts w:asciiTheme="minorHAnsi" w:hAnsiTheme="minorHAnsi" w:cstheme="minorHAnsi"/>
                <w:szCs w:val="22"/>
              </w:rPr>
            </w:pPr>
            <w:r w:rsidRPr="000A4D5C">
              <w:rPr>
                <w:rFonts w:asciiTheme="minorHAnsi" w:hAnsiTheme="minorHAnsi" w:cstheme="minorHAnsi"/>
                <w:szCs w:val="22"/>
              </w:rPr>
              <w:t>West Zone</w:t>
            </w:r>
          </w:p>
        </w:tc>
        <w:tc>
          <w:tcPr>
            <w:tcW w:w="1872" w:type="dxa"/>
            <w:tcBorders>
              <w:top w:val="single" w:sz="4" w:space="0" w:color="1F497D" w:themeColor="text2"/>
              <w:left w:val="nil"/>
              <w:bottom w:val="nil"/>
              <w:right w:val="nil"/>
            </w:tcBorders>
            <w:vAlign w:val="center"/>
          </w:tcPr>
          <w:p w:rsidR="004578CC" w:rsidRPr="000A4D5C" w:rsidRDefault="004578CC" w:rsidP="004578CC">
            <w:pPr>
              <w:jc w:val="center"/>
              <w:rPr>
                <w:rFonts w:asciiTheme="minorHAnsi" w:hAnsiTheme="minorHAnsi" w:cstheme="minorHAnsi"/>
                <w:szCs w:val="22"/>
              </w:rPr>
            </w:pPr>
            <w:r>
              <w:rPr>
                <w:rFonts w:asciiTheme="minorHAnsi" w:hAnsiTheme="minorHAnsi" w:cstheme="minorHAnsi"/>
                <w:szCs w:val="22"/>
              </w:rPr>
              <w:t>1.2</w:t>
            </w:r>
          </w:p>
        </w:tc>
        <w:tc>
          <w:tcPr>
            <w:tcW w:w="1872" w:type="dxa"/>
            <w:tcBorders>
              <w:top w:val="single" w:sz="4" w:space="0" w:color="1F497D" w:themeColor="text2"/>
              <w:left w:val="nil"/>
              <w:bottom w:val="nil"/>
              <w:right w:val="nil"/>
            </w:tcBorders>
            <w:vAlign w:val="center"/>
          </w:tcPr>
          <w:p w:rsidR="004578CC" w:rsidRPr="000A4D5C" w:rsidRDefault="004578CC" w:rsidP="00813E49">
            <w:pPr>
              <w:jc w:val="center"/>
              <w:rPr>
                <w:rFonts w:asciiTheme="minorHAnsi" w:hAnsiTheme="minorHAnsi" w:cstheme="minorHAnsi"/>
                <w:szCs w:val="22"/>
              </w:rPr>
            </w:pPr>
            <w:r>
              <w:rPr>
                <w:rFonts w:asciiTheme="minorHAnsi" w:hAnsiTheme="minorHAnsi" w:cstheme="minorHAnsi"/>
                <w:szCs w:val="22"/>
              </w:rPr>
              <w:t>-</w:t>
            </w:r>
            <w:r w:rsidR="00813E49">
              <w:rPr>
                <w:rFonts w:asciiTheme="minorHAnsi" w:hAnsiTheme="minorHAnsi" w:cstheme="minorHAnsi"/>
                <w:szCs w:val="22"/>
              </w:rPr>
              <w:t>0.1</w:t>
            </w:r>
          </w:p>
        </w:tc>
        <w:tc>
          <w:tcPr>
            <w:tcW w:w="1872" w:type="dxa"/>
            <w:tcBorders>
              <w:top w:val="single" w:sz="4" w:space="0" w:color="1F497D" w:themeColor="text2"/>
              <w:left w:val="nil"/>
              <w:bottom w:val="nil"/>
              <w:right w:val="nil"/>
            </w:tcBorders>
            <w:vAlign w:val="center"/>
          </w:tcPr>
          <w:p w:rsidR="004578CC" w:rsidRPr="000A4D5C" w:rsidRDefault="004578CC" w:rsidP="004578CC">
            <w:pPr>
              <w:jc w:val="center"/>
              <w:rPr>
                <w:rFonts w:asciiTheme="minorHAnsi" w:hAnsiTheme="minorHAnsi" w:cstheme="minorHAnsi"/>
                <w:szCs w:val="22"/>
              </w:rPr>
            </w:pPr>
            <w:r>
              <w:rPr>
                <w:rFonts w:asciiTheme="minorHAnsi" w:hAnsiTheme="minorHAnsi" w:cstheme="minorHAnsi"/>
                <w:szCs w:val="22"/>
              </w:rPr>
              <w:t>0.5</w:t>
            </w:r>
          </w:p>
        </w:tc>
      </w:tr>
    </w:tbl>
    <w:p w:rsidR="005E0682" w:rsidRDefault="005E0682" w:rsidP="000C5305">
      <w:pPr>
        <w:rPr>
          <w:i/>
        </w:rPr>
      </w:pPr>
    </w:p>
    <w:p w:rsidR="000C5305" w:rsidRDefault="000C5305" w:rsidP="000C5305">
      <w:pPr>
        <w:rPr>
          <w:i/>
        </w:rPr>
      </w:pPr>
      <w:r>
        <w:rPr>
          <w:i/>
        </w:rPr>
        <w:t xml:space="preserve">13.  </w:t>
      </w:r>
      <w:r w:rsidRPr="004578CC">
        <w:rPr>
          <w:i/>
        </w:rPr>
        <w:t xml:space="preserve">Please provide the changes to annual unit </w:t>
      </w:r>
      <w:r w:rsidRPr="000C5305">
        <w:rPr>
          <w:i/>
        </w:rPr>
        <w:t xml:space="preserve">startup cost </w:t>
      </w:r>
      <w:r w:rsidRPr="004578CC">
        <w:rPr>
          <w:i/>
        </w:rPr>
        <w:t>by zone.</w:t>
      </w:r>
      <w:r>
        <w:rPr>
          <w:i/>
        </w:rPr>
        <w:t xml:space="preserve"> (</w:t>
      </w:r>
      <w:proofErr w:type="spellStart"/>
      <w:r>
        <w:rPr>
          <w:i/>
        </w:rPr>
        <w:t>Vistra</w:t>
      </w:r>
      <w:proofErr w:type="spellEnd"/>
      <w:r>
        <w:rPr>
          <w:i/>
        </w:rPr>
        <w:t>)</w:t>
      </w:r>
    </w:p>
    <w:p w:rsidR="000C5305" w:rsidRDefault="000C5305" w:rsidP="000C5305">
      <w:r>
        <w:t xml:space="preserve">A.  </w:t>
      </w:r>
      <w:r w:rsidRPr="007B7B6E">
        <w:t xml:space="preserve">The </w:t>
      </w:r>
      <w:r>
        <w:t>changes to the annual unit startup costs</w:t>
      </w:r>
      <w:r w:rsidRPr="007B7B6E">
        <w:t xml:space="preserve"> reported by the model for the base case and two sensitivities are</w:t>
      </w:r>
      <w:r>
        <w:t xml:space="preserve"> provided in the following table</w:t>
      </w:r>
      <w:r w:rsidRPr="007B7B6E">
        <w:t>:</w:t>
      </w:r>
    </w:p>
    <w:p w:rsidR="005E0682" w:rsidRPr="007B7B6E" w:rsidRDefault="005E0682" w:rsidP="000C5305"/>
    <w:p w:rsidR="002F28A5" w:rsidRDefault="002F28A5">
      <w:pPr>
        <w:rPr>
          <w:rFonts w:cstheme="minorHAnsi"/>
          <w:b/>
          <w:color w:val="000000"/>
        </w:rPr>
      </w:pPr>
      <w:r>
        <w:rPr>
          <w:rFonts w:cstheme="minorHAnsi"/>
          <w:b/>
          <w:color w:val="000000"/>
        </w:rPr>
        <w:br w:type="page"/>
      </w:r>
    </w:p>
    <w:p w:rsidR="000C5305" w:rsidRPr="005A4BE6" w:rsidRDefault="000C5305" w:rsidP="000C5305">
      <w:pPr>
        <w:widowControl w:val="0"/>
        <w:autoSpaceDE w:val="0"/>
        <w:autoSpaceDN w:val="0"/>
        <w:adjustRightInd w:val="0"/>
        <w:spacing w:line="360" w:lineRule="auto"/>
        <w:jc w:val="center"/>
        <w:rPr>
          <w:rFonts w:cstheme="minorHAnsi"/>
          <w:b/>
          <w:color w:val="000000"/>
        </w:rPr>
      </w:pPr>
      <w:r>
        <w:rPr>
          <w:rFonts w:cstheme="minorHAnsi"/>
          <w:b/>
          <w:color w:val="000000"/>
        </w:rPr>
        <w:t>Change in Annual Unit Startup Cost (in $M)</w:t>
      </w:r>
    </w:p>
    <w:tbl>
      <w:tblPr>
        <w:tblStyle w:val="TableGrid"/>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545"/>
        <w:gridCol w:w="1872"/>
        <w:gridCol w:w="1872"/>
        <w:gridCol w:w="1872"/>
      </w:tblGrid>
      <w:tr w:rsidR="000C5305" w:rsidRPr="003E0171" w:rsidTr="00E4750A">
        <w:trPr>
          <w:trHeight w:val="576"/>
          <w:jc w:val="center"/>
        </w:trPr>
        <w:tc>
          <w:tcPr>
            <w:tcW w:w="2545" w:type="dxa"/>
            <w:tcBorders>
              <w:top w:val="single" w:sz="4" w:space="0" w:color="1F497D" w:themeColor="text2"/>
              <w:left w:val="single" w:sz="4" w:space="0" w:color="1F497D" w:themeColor="text2"/>
              <w:bottom w:val="nil"/>
              <w:right w:val="nil"/>
            </w:tcBorders>
            <w:shd w:val="solid" w:color="003865" w:fill="auto"/>
            <w:vAlign w:val="center"/>
          </w:tcPr>
          <w:p w:rsidR="000C5305" w:rsidRPr="00BB2B40" w:rsidRDefault="000C5305" w:rsidP="00E4750A">
            <w:pPr>
              <w:rPr>
                <w:rFonts w:asciiTheme="minorHAnsi" w:hAnsiTheme="minorHAnsi" w:cstheme="minorHAnsi"/>
                <w:b/>
                <w:szCs w:val="22"/>
              </w:rPr>
            </w:pPr>
          </w:p>
        </w:tc>
        <w:tc>
          <w:tcPr>
            <w:tcW w:w="1872" w:type="dxa"/>
            <w:tcBorders>
              <w:top w:val="single" w:sz="4" w:space="0" w:color="1F497D" w:themeColor="text2"/>
              <w:left w:val="nil"/>
              <w:bottom w:val="nil"/>
              <w:right w:val="nil"/>
            </w:tcBorders>
            <w:shd w:val="solid" w:color="003865" w:fill="auto"/>
            <w:vAlign w:val="center"/>
          </w:tcPr>
          <w:p w:rsidR="000C5305" w:rsidRPr="00BB2B40" w:rsidRDefault="000C5305" w:rsidP="00E4750A">
            <w:pPr>
              <w:jc w:val="center"/>
              <w:rPr>
                <w:rFonts w:asciiTheme="minorHAnsi" w:hAnsiTheme="minorHAnsi" w:cstheme="minorHAnsi"/>
                <w:b/>
                <w:szCs w:val="22"/>
              </w:rPr>
            </w:pPr>
            <w:r w:rsidRPr="00BB2B40">
              <w:rPr>
                <w:rFonts w:asciiTheme="minorHAnsi" w:hAnsiTheme="minorHAnsi" w:cstheme="minorHAnsi"/>
                <w:b/>
                <w:szCs w:val="22"/>
              </w:rPr>
              <w:t xml:space="preserve">Low Gas </w:t>
            </w:r>
            <w:r>
              <w:rPr>
                <w:rFonts w:asciiTheme="minorHAnsi" w:hAnsiTheme="minorHAnsi" w:cstheme="minorHAnsi"/>
                <w:b/>
                <w:szCs w:val="22"/>
              </w:rPr>
              <w:br/>
            </w:r>
            <w:r w:rsidRPr="00BB2B40">
              <w:rPr>
                <w:rFonts w:asciiTheme="minorHAnsi" w:hAnsiTheme="minorHAnsi" w:cstheme="minorHAnsi"/>
                <w:b/>
                <w:szCs w:val="22"/>
              </w:rPr>
              <w:t>Price Case</w:t>
            </w:r>
          </w:p>
        </w:tc>
        <w:tc>
          <w:tcPr>
            <w:tcW w:w="1872" w:type="dxa"/>
            <w:tcBorders>
              <w:top w:val="single" w:sz="4" w:space="0" w:color="1F497D" w:themeColor="text2"/>
              <w:left w:val="nil"/>
              <w:bottom w:val="nil"/>
              <w:right w:val="nil"/>
            </w:tcBorders>
            <w:shd w:val="solid" w:color="003865" w:fill="auto"/>
            <w:vAlign w:val="center"/>
          </w:tcPr>
          <w:p w:rsidR="000C5305" w:rsidRPr="00BB2B40" w:rsidRDefault="000C5305" w:rsidP="00E4750A">
            <w:pPr>
              <w:jc w:val="center"/>
              <w:rPr>
                <w:rFonts w:asciiTheme="minorHAnsi" w:hAnsiTheme="minorHAnsi" w:cstheme="minorHAnsi"/>
                <w:b/>
                <w:szCs w:val="22"/>
              </w:rPr>
            </w:pPr>
            <w:r w:rsidRPr="00BB2B40">
              <w:rPr>
                <w:rFonts w:asciiTheme="minorHAnsi" w:hAnsiTheme="minorHAnsi" w:cstheme="minorHAnsi"/>
                <w:b/>
                <w:szCs w:val="22"/>
              </w:rPr>
              <w:t>Base Case</w:t>
            </w:r>
          </w:p>
        </w:tc>
        <w:tc>
          <w:tcPr>
            <w:tcW w:w="1872" w:type="dxa"/>
            <w:tcBorders>
              <w:top w:val="single" w:sz="4" w:space="0" w:color="1F497D" w:themeColor="text2"/>
              <w:left w:val="nil"/>
              <w:bottom w:val="nil"/>
              <w:right w:val="single" w:sz="4" w:space="0" w:color="1F497D" w:themeColor="text2"/>
            </w:tcBorders>
            <w:shd w:val="solid" w:color="003865" w:fill="auto"/>
            <w:vAlign w:val="center"/>
          </w:tcPr>
          <w:p w:rsidR="000C5305" w:rsidRPr="00BB2B40" w:rsidRDefault="000C5305" w:rsidP="00E4750A">
            <w:pPr>
              <w:jc w:val="center"/>
              <w:rPr>
                <w:rFonts w:asciiTheme="minorHAnsi" w:hAnsiTheme="minorHAnsi" w:cstheme="minorHAnsi"/>
                <w:b/>
                <w:szCs w:val="22"/>
              </w:rPr>
            </w:pPr>
            <w:r w:rsidRPr="00BB2B40">
              <w:rPr>
                <w:rFonts w:asciiTheme="minorHAnsi" w:hAnsiTheme="minorHAnsi" w:cstheme="minorHAnsi"/>
                <w:b/>
                <w:szCs w:val="22"/>
              </w:rPr>
              <w:t xml:space="preserve">High Gas </w:t>
            </w:r>
            <w:r>
              <w:rPr>
                <w:rFonts w:asciiTheme="minorHAnsi" w:hAnsiTheme="minorHAnsi" w:cstheme="minorHAnsi"/>
                <w:b/>
                <w:szCs w:val="22"/>
              </w:rPr>
              <w:br/>
            </w:r>
            <w:r w:rsidRPr="00BB2B40">
              <w:rPr>
                <w:rFonts w:asciiTheme="minorHAnsi" w:hAnsiTheme="minorHAnsi" w:cstheme="minorHAnsi"/>
                <w:b/>
                <w:szCs w:val="22"/>
              </w:rPr>
              <w:t>Price Case</w:t>
            </w:r>
          </w:p>
        </w:tc>
      </w:tr>
      <w:tr w:rsidR="000C5305" w:rsidRPr="003E0171" w:rsidTr="00E4750A">
        <w:trPr>
          <w:trHeight w:val="576"/>
          <w:jc w:val="center"/>
        </w:trPr>
        <w:tc>
          <w:tcPr>
            <w:tcW w:w="2545" w:type="dxa"/>
            <w:tcBorders>
              <w:top w:val="nil"/>
              <w:left w:val="nil"/>
              <w:bottom w:val="single" w:sz="4" w:space="0" w:color="1F497D" w:themeColor="text2"/>
              <w:right w:val="nil"/>
            </w:tcBorders>
            <w:vAlign w:val="center"/>
          </w:tcPr>
          <w:p w:rsidR="000C5305" w:rsidRPr="00BB2B40" w:rsidRDefault="000C5305" w:rsidP="00E4750A">
            <w:pPr>
              <w:rPr>
                <w:rFonts w:asciiTheme="minorHAnsi" w:hAnsiTheme="minorHAnsi" w:cstheme="minorHAnsi"/>
                <w:szCs w:val="22"/>
              </w:rPr>
            </w:pPr>
            <w:r>
              <w:rPr>
                <w:rFonts w:asciiTheme="minorHAnsi" w:hAnsiTheme="minorHAnsi" w:cstheme="minorHAnsi"/>
                <w:szCs w:val="22"/>
              </w:rPr>
              <w:t>Houston Zone</w:t>
            </w:r>
          </w:p>
        </w:tc>
        <w:tc>
          <w:tcPr>
            <w:tcW w:w="1872" w:type="dxa"/>
            <w:tcBorders>
              <w:top w:val="nil"/>
              <w:left w:val="nil"/>
              <w:bottom w:val="single" w:sz="4" w:space="0" w:color="1F497D" w:themeColor="text2"/>
              <w:right w:val="nil"/>
            </w:tcBorders>
            <w:vAlign w:val="center"/>
          </w:tcPr>
          <w:p w:rsidR="000C5305" w:rsidRPr="00BB2B40" w:rsidRDefault="000C5305" w:rsidP="00E4750A">
            <w:pPr>
              <w:jc w:val="center"/>
              <w:rPr>
                <w:rFonts w:asciiTheme="minorHAnsi" w:hAnsiTheme="minorHAnsi" w:cstheme="minorHAnsi"/>
                <w:szCs w:val="22"/>
              </w:rPr>
            </w:pPr>
            <w:r>
              <w:rPr>
                <w:rFonts w:asciiTheme="minorHAnsi" w:hAnsiTheme="minorHAnsi" w:cstheme="minorHAnsi"/>
                <w:szCs w:val="22"/>
              </w:rPr>
              <w:t>0.3</w:t>
            </w:r>
          </w:p>
        </w:tc>
        <w:tc>
          <w:tcPr>
            <w:tcW w:w="1872" w:type="dxa"/>
            <w:tcBorders>
              <w:top w:val="nil"/>
              <w:left w:val="nil"/>
              <w:bottom w:val="single" w:sz="4" w:space="0" w:color="1F497D" w:themeColor="text2"/>
              <w:right w:val="nil"/>
            </w:tcBorders>
            <w:vAlign w:val="center"/>
          </w:tcPr>
          <w:p w:rsidR="000C5305" w:rsidRPr="00BB2B40" w:rsidRDefault="000C5305" w:rsidP="00E4750A">
            <w:pPr>
              <w:jc w:val="center"/>
              <w:rPr>
                <w:rFonts w:asciiTheme="minorHAnsi" w:hAnsiTheme="minorHAnsi" w:cstheme="minorHAnsi"/>
                <w:szCs w:val="22"/>
              </w:rPr>
            </w:pPr>
            <w:r>
              <w:rPr>
                <w:rFonts w:asciiTheme="minorHAnsi" w:hAnsiTheme="minorHAnsi" w:cstheme="minorHAnsi"/>
                <w:szCs w:val="22"/>
              </w:rPr>
              <w:t>-1.8</w:t>
            </w:r>
          </w:p>
        </w:tc>
        <w:tc>
          <w:tcPr>
            <w:tcW w:w="1872" w:type="dxa"/>
            <w:tcBorders>
              <w:top w:val="nil"/>
              <w:left w:val="nil"/>
              <w:bottom w:val="single" w:sz="4" w:space="0" w:color="1F497D" w:themeColor="text2"/>
              <w:right w:val="nil"/>
            </w:tcBorders>
            <w:vAlign w:val="center"/>
          </w:tcPr>
          <w:p w:rsidR="000C5305" w:rsidRPr="00BB2B40" w:rsidRDefault="000C5305" w:rsidP="00E4750A">
            <w:pPr>
              <w:jc w:val="center"/>
              <w:rPr>
                <w:rFonts w:asciiTheme="minorHAnsi" w:hAnsiTheme="minorHAnsi" w:cstheme="minorHAnsi"/>
                <w:szCs w:val="22"/>
              </w:rPr>
            </w:pPr>
            <w:r>
              <w:rPr>
                <w:rFonts w:asciiTheme="minorHAnsi" w:hAnsiTheme="minorHAnsi" w:cstheme="minorHAnsi"/>
                <w:szCs w:val="22"/>
              </w:rPr>
              <w:t>-1.7</w:t>
            </w:r>
          </w:p>
        </w:tc>
      </w:tr>
      <w:tr w:rsidR="000C5305" w:rsidRPr="000A4D5C" w:rsidTr="00E4750A">
        <w:trPr>
          <w:trHeight w:val="576"/>
          <w:jc w:val="center"/>
        </w:trPr>
        <w:tc>
          <w:tcPr>
            <w:tcW w:w="2545" w:type="dxa"/>
            <w:tcBorders>
              <w:top w:val="single" w:sz="4" w:space="0" w:color="1F497D" w:themeColor="text2"/>
              <w:left w:val="nil"/>
              <w:bottom w:val="single" w:sz="4" w:space="0" w:color="1F497D" w:themeColor="text2"/>
              <w:right w:val="nil"/>
            </w:tcBorders>
            <w:vAlign w:val="center"/>
          </w:tcPr>
          <w:p w:rsidR="000C5305" w:rsidRPr="000A4D5C" w:rsidRDefault="000C5305" w:rsidP="00E4750A">
            <w:pPr>
              <w:rPr>
                <w:rFonts w:asciiTheme="minorHAnsi" w:hAnsiTheme="minorHAnsi" w:cstheme="minorHAnsi"/>
                <w:szCs w:val="22"/>
              </w:rPr>
            </w:pPr>
            <w:r w:rsidRPr="000A4D5C">
              <w:rPr>
                <w:rFonts w:asciiTheme="minorHAnsi" w:hAnsiTheme="minorHAnsi" w:cstheme="minorHAnsi"/>
                <w:szCs w:val="22"/>
              </w:rPr>
              <w:t xml:space="preserve">North </w:t>
            </w:r>
            <w:r>
              <w:rPr>
                <w:rFonts w:asciiTheme="minorHAnsi" w:hAnsiTheme="minorHAnsi" w:cstheme="minorHAnsi"/>
                <w:szCs w:val="22"/>
              </w:rPr>
              <w:t>Zone</w:t>
            </w:r>
          </w:p>
        </w:tc>
        <w:tc>
          <w:tcPr>
            <w:tcW w:w="1872" w:type="dxa"/>
            <w:tcBorders>
              <w:top w:val="single" w:sz="4" w:space="0" w:color="1F497D" w:themeColor="text2"/>
              <w:left w:val="nil"/>
              <w:bottom w:val="single" w:sz="4" w:space="0" w:color="1F497D" w:themeColor="text2"/>
              <w:right w:val="nil"/>
            </w:tcBorders>
            <w:vAlign w:val="center"/>
          </w:tcPr>
          <w:p w:rsidR="000C5305" w:rsidRPr="000A4D5C" w:rsidRDefault="000C5305" w:rsidP="00E4750A">
            <w:pPr>
              <w:jc w:val="center"/>
              <w:rPr>
                <w:rFonts w:asciiTheme="minorHAnsi" w:hAnsiTheme="minorHAnsi" w:cstheme="minorHAnsi"/>
                <w:szCs w:val="22"/>
              </w:rPr>
            </w:pPr>
            <w:r>
              <w:rPr>
                <w:rFonts w:asciiTheme="minorHAnsi" w:hAnsiTheme="minorHAnsi" w:cstheme="minorHAnsi"/>
                <w:szCs w:val="22"/>
              </w:rPr>
              <w:t>5.5</w:t>
            </w:r>
          </w:p>
        </w:tc>
        <w:tc>
          <w:tcPr>
            <w:tcW w:w="1872" w:type="dxa"/>
            <w:tcBorders>
              <w:top w:val="single" w:sz="4" w:space="0" w:color="1F497D" w:themeColor="text2"/>
              <w:left w:val="nil"/>
              <w:bottom w:val="single" w:sz="4" w:space="0" w:color="1F497D" w:themeColor="text2"/>
              <w:right w:val="nil"/>
            </w:tcBorders>
            <w:vAlign w:val="center"/>
          </w:tcPr>
          <w:p w:rsidR="000C5305" w:rsidRPr="000A4D5C" w:rsidRDefault="000C5305" w:rsidP="00E4750A">
            <w:pPr>
              <w:jc w:val="center"/>
              <w:rPr>
                <w:rFonts w:asciiTheme="minorHAnsi" w:hAnsiTheme="minorHAnsi" w:cstheme="minorHAnsi"/>
                <w:szCs w:val="22"/>
              </w:rPr>
            </w:pPr>
            <w:r>
              <w:rPr>
                <w:rFonts w:asciiTheme="minorHAnsi" w:hAnsiTheme="minorHAnsi" w:cstheme="minorHAnsi"/>
                <w:szCs w:val="22"/>
              </w:rPr>
              <w:t>22.9</w:t>
            </w:r>
          </w:p>
        </w:tc>
        <w:tc>
          <w:tcPr>
            <w:tcW w:w="1872" w:type="dxa"/>
            <w:tcBorders>
              <w:top w:val="single" w:sz="4" w:space="0" w:color="1F497D" w:themeColor="text2"/>
              <w:left w:val="nil"/>
              <w:bottom w:val="single" w:sz="4" w:space="0" w:color="1F497D" w:themeColor="text2"/>
              <w:right w:val="nil"/>
            </w:tcBorders>
            <w:vAlign w:val="center"/>
          </w:tcPr>
          <w:p w:rsidR="000C5305" w:rsidRPr="000A4D5C" w:rsidRDefault="000C5305" w:rsidP="000C5305">
            <w:pPr>
              <w:jc w:val="center"/>
              <w:rPr>
                <w:rFonts w:asciiTheme="minorHAnsi" w:hAnsiTheme="minorHAnsi" w:cstheme="minorHAnsi"/>
                <w:szCs w:val="22"/>
              </w:rPr>
            </w:pPr>
            <w:r>
              <w:rPr>
                <w:rFonts w:asciiTheme="minorHAnsi" w:hAnsiTheme="minorHAnsi" w:cstheme="minorHAnsi"/>
                <w:szCs w:val="22"/>
              </w:rPr>
              <w:t>35.2</w:t>
            </w:r>
          </w:p>
        </w:tc>
      </w:tr>
      <w:tr w:rsidR="000C5305" w:rsidRPr="000A4D5C" w:rsidTr="00E4750A">
        <w:trPr>
          <w:trHeight w:val="576"/>
          <w:jc w:val="center"/>
        </w:trPr>
        <w:tc>
          <w:tcPr>
            <w:tcW w:w="2545" w:type="dxa"/>
            <w:tcBorders>
              <w:top w:val="single" w:sz="4" w:space="0" w:color="1F497D" w:themeColor="text2"/>
              <w:left w:val="nil"/>
              <w:bottom w:val="single" w:sz="4" w:space="0" w:color="1F497D" w:themeColor="text2"/>
              <w:right w:val="nil"/>
            </w:tcBorders>
            <w:vAlign w:val="center"/>
          </w:tcPr>
          <w:p w:rsidR="000C5305" w:rsidRPr="000A4D5C" w:rsidRDefault="000C5305" w:rsidP="00E4750A">
            <w:pPr>
              <w:rPr>
                <w:rFonts w:asciiTheme="minorHAnsi" w:hAnsiTheme="minorHAnsi" w:cstheme="minorHAnsi"/>
                <w:szCs w:val="22"/>
              </w:rPr>
            </w:pPr>
            <w:r w:rsidRPr="000A4D5C">
              <w:rPr>
                <w:rFonts w:asciiTheme="minorHAnsi" w:hAnsiTheme="minorHAnsi" w:cstheme="minorHAnsi"/>
                <w:szCs w:val="22"/>
              </w:rPr>
              <w:t>South Zone</w:t>
            </w:r>
          </w:p>
        </w:tc>
        <w:tc>
          <w:tcPr>
            <w:tcW w:w="1872" w:type="dxa"/>
            <w:tcBorders>
              <w:top w:val="single" w:sz="4" w:space="0" w:color="1F497D" w:themeColor="text2"/>
              <w:left w:val="nil"/>
              <w:bottom w:val="single" w:sz="4" w:space="0" w:color="1F497D" w:themeColor="text2"/>
              <w:right w:val="nil"/>
            </w:tcBorders>
            <w:vAlign w:val="center"/>
          </w:tcPr>
          <w:p w:rsidR="000C5305" w:rsidRPr="000A4D5C" w:rsidRDefault="000C5305" w:rsidP="000C5305">
            <w:pPr>
              <w:jc w:val="center"/>
              <w:rPr>
                <w:rFonts w:asciiTheme="minorHAnsi" w:hAnsiTheme="minorHAnsi" w:cstheme="minorHAnsi"/>
                <w:szCs w:val="22"/>
              </w:rPr>
            </w:pPr>
            <w:r>
              <w:rPr>
                <w:rFonts w:asciiTheme="minorHAnsi" w:hAnsiTheme="minorHAnsi" w:cstheme="minorHAnsi"/>
                <w:szCs w:val="22"/>
              </w:rPr>
              <w:t>4.1</w:t>
            </w:r>
          </w:p>
        </w:tc>
        <w:tc>
          <w:tcPr>
            <w:tcW w:w="1872" w:type="dxa"/>
            <w:tcBorders>
              <w:top w:val="single" w:sz="4" w:space="0" w:color="1F497D" w:themeColor="text2"/>
              <w:left w:val="nil"/>
              <w:bottom w:val="single" w:sz="4" w:space="0" w:color="1F497D" w:themeColor="text2"/>
              <w:right w:val="nil"/>
            </w:tcBorders>
            <w:vAlign w:val="center"/>
          </w:tcPr>
          <w:p w:rsidR="000C5305" w:rsidRPr="000A4D5C" w:rsidRDefault="000C5305" w:rsidP="00E4750A">
            <w:pPr>
              <w:jc w:val="center"/>
              <w:rPr>
                <w:rFonts w:asciiTheme="minorHAnsi" w:hAnsiTheme="minorHAnsi" w:cstheme="minorHAnsi"/>
                <w:szCs w:val="22"/>
              </w:rPr>
            </w:pPr>
            <w:r>
              <w:rPr>
                <w:rFonts w:asciiTheme="minorHAnsi" w:hAnsiTheme="minorHAnsi" w:cstheme="minorHAnsi"/>
                <w:szCs w:val="22"/>
              </w:rPr>
              <w:t>9.4</w:t>
            </w:r>
          </w:p>
        </w:tc>
        <w:tc>
          <w:tcPr>
            <w:tcW w:w="1872" w:type="dxa"/>
            <w:tcBorders>
              <w:top w:val="single" w:sz="4" w:space="0" w:color="1F497D" w:themeColor="text2"/>
              <w:left w:val="nil"/>
              <w:bottom w:val="single" w:sz="4" w:space="0" w:color="1F497D" w:themeColor="text2"/>
              <w:right w:val="nil"/>
            </w:tcBorders>
            <w:vAlign w:val="center"/>
          </w:tcPr>
          <w:p w:rsidR="000C5305" w:rsidRPr="000A4D5C" w:rsidRDefault="000C5305" w:rsidP="00E4750A">
            <w:pPr>
              <w:jc w:val="center"/>
              <w:rPr>
                <w:rFonts w:asciiTheme="minorHAnsi" w:hAnsiTheme="minorHAnsi" w:cstheme="minorHAnsi"/>
                <w:szCs w:val="22"/>
              </w:rPr>
            </w:pPr>
            <w:r>
              <w:rPr>
                <w:rFonts w:asciiTheme="minorHAnsi" w:hAnsiTheme="minorHAnsi" w:cstheme="minorHAnsi"/>
                <w:szCs w:val="22"/>
              </w:rPr>
              <w:t>15.6</w:t>
            </w:r>
          </w:p>
        </w:tc>
      </w:tr>
      <w:tr w:rsidR="000C5305" w:rsidRPr="000A4D5C" w:rsidTr="00E4750A">
        <w:trPr>
          <w:trHeight w:val="576"/>
          <w:jc w:val="center"/>
        </w:trPr>
        <w:tc>
          <w:tcPr>
            <w:tcW w:w="2545" w:type="dxa"/>
            <w:tcBorders>
              <w:top w:val="single" w:sz="4" w:space="0" w:color="1F497D" w:themeColor="text2"/>
              <w:left w:val="nil"/>
              <w:bottom w:val="nil"/>
              <w:right w:val="nil"/>
            </w:tcBorders>
            <w:vAlign w:val="center"/>
          </w:tcPr>
          <w:p w:rsidR="000C5305" w:rsidRPr="000A4D5C" w:rsidRDefault="000C5305" w:rsidP="00E4750A">
            <w:pPr>
              <w:rPr>
                <w:rFonts w:asciiTheme="minorHAnsi" w:hAnsiTheme="minorHAnsi" w:cstheme="minorHAnsi"/>
                <w:szCs w:val="22"/>
              </w:rPr>
            </w:pPr>
            <w:r w:rsidRPr="000A4D5C">
              <w:rPr>
                <w:rFonts w:asciiTheme="minorHAnsi" w:hAnsiTheme="minorHAnsi" w:cstheme="minorHAnsi"/>
                <w:szCs w:val="22"/>
              </w:rPr>
              <w:t>West Zone</w:t>
            </w:r>
          </w:p>
        </w:tc>
        <w:tc>
          <w:tcPr>
            <w:tcW w:w="1872" w:type="dxa"/>
            <w:tcBorders>
              <w:top w:val="single" w:sz="4" w:space="0" w:color="1F497D" w:themeColor="text2"/>
              <w:left w:val="nil"/>
              <w:bottom w:val="nil"/>
              <w:right w:val="nil"/>
            </w:tcBorders>
            <w:vAlign w:val="center"/>
          </w:tcPr>
          <w:p w:rsidR="000C5305" w:rsidRPr="000A4D5C" w:rsidRDefault="000C5305" w:rsidP="00E4750A">
            <w:pPr>
              <w:jc w:val="center"/>
              <w:rPr>
                <w:rFonts w:asciiTheme="minorHAnsi" w:hAnsiTheme="minorHAnsi" w:cstheme="minorHAnsi"/>
                <w:szCs w:val="22"/>
              </w:rPr>
            </w:pPr>
            <w:r>
              <w:rPr>
                <w:rFonts w:asciiTheme="minorHAnsi" w:hAnsiTheme="minorHAnsi" w:cstheme="minorHAnsi"/>
                <w:szCs w:val="22"/>
              </w:rPr>
              <w:t>3.4</w:t>
            </w:r>
          </w:p>
        </w:tc>
        <w:tc>
          <w:tcPr>
            <w:tcW w:w="1872" w:type="dxa"/>
            <w:tcBorders>
              <w:top w:val="single" w:sz="4" w:space="0" w:color="1F497D" w:themeColor="text2"/>
              <w:left w:val="nil"/>
              <w:bottom w:val="nil"/>
              <w:right w:val="nil"/>
            </w:tcBorders>
            <w:vAlign w:val="center"/>
          </w:tcPr>
          <w:p w:rsidR="000C5305" w:rsidRPr="000A4D5C" w:rsidRDefault="000C5305" w:rsidP="00E4750A">
            <w:pPr>
              <w:jc w:val="center"/>
              <w:rPr>
                <w:rFonts w:asciiTheme="minorHAnsi" w:hAnsiTheme="minorHAnsi" w:cstheme="minorHAnsi"/>
                <w:szCs w:val="22"/>
              </w:rPr>
            </w:pPr>
            <w:r>
              <w:rPr>
                <w:rFonts w:asciiTheme="minorHAnsi" w:hAnsiTheme="minorHAnsi" w:cstheme="minorHAnsi"/>
                <w:szCs w:val="22"/>
              </w:rPr>
              <w:t>4.6</w:t>
            </w:r>
          </w:p>
        </w:tc>
        <w:tc>
          <w:tcPr>
            <w:tcW w:w="1872" w:type="dxa"/>
            <w:tcBorders>
              <w:top w:val="single" w:sz="4" w:space="0" w:color="1F497D" w:themeColor="text2"/>
              <w:left w:val="nil"/>
              <w:bottom w:val="nil"/>
              <w:right w:val="nil"/>
            </w:tcBorders>
            <w:vAlign w:val="center"/>
          </w:tcPr>
          <w:p w:rsidR="000C5305" w:rsidRPr="000A4D5C" w:rsidRDefault="000C5305" w:rsidP="00E4750A">
            <w:pPr>
              <w:jc w:val="center"/>
              <w:rPr>
                <w:rFonts w:asciiTheme="minorHAnsi" w:hAnsiTheme="minorHAnsi" w:cstheme="minorHAnsi"/>
                <w:szCs w:val="22"/>
              </w:rPr>
            </w:pPr>
            <w:r>
              <w:rPr>
                <w:rFonts w:asciiTheme="minorHAnsi" w:hAnsiTheme="minorHAnsi" w:cstheme="minorHAnsi"/>
                <w:szCs w:val="22"/>
              </w:rPr>
              <w:t>4.4</w:t>
            </w:r>
          </w:p>
        </w:tc>
      </w:tr>
    </w:tbl>
    <w:p w:rsidR="005E0682" w:rsidRDefault="005E0682" w:rsidP="000C5305">
      <w:pPr>
        <w:rPr>
          <w:i/>
        </w:rPr>
      </w:pPr>
    </w:p>
    <w:p w:rsidR="000C5305" w:rsidRDefault="000C5305" w:rsidP="000C5305">
      <w:pPr>
        <w:rPr>
          <w:i/>
        </w:rPr>
      </w:pPr>
      <w:r>
        <w:rPr>
          <w:i/>
        </w:rPr>
        <w:t xml:space="preserve">14.  </w:t>
      </w:r>
      <w:r w:rsidRPr="000C5305">
        <w:rPr>
          <w:i/>
        </w:rPr>
        <w:t>Please state the margin of error for UPLAN’s modeling results</w:t>
      </w:r>
      <w:r w:rsidRPr="004578CC">
        <w:rPr>
          <w:i/>
        </w:rPr>
        <w:t>.</w:t>
      </w:r>
      <w:r>
        <w:rPr>
          <w:i/>
        </w:rPr>
        <w:t xml:space="preserve"> (</w:t>
      </w:r>
      <w:proofErr w:type="spellStart"/>
      <w:r>
        <w:rPr>
          <w:i/>
        </w:rPr>
        <w:t>Vistra</w:t>
      </w:r>
      <w:proofErr w:type="spellEnd"/>
      <w:r>
        <w:rPr>
          <w:i/>
        </w:rPr>
        <w:t>)</w:t>
      </w:r>
    </w:p>
    <w:p w:rsidR="000C5305" w:rsidRPr="007B7B6E" w:rsidRDefault="000C5305" w:rsidP="000C5305">
      <w:r>
        <w:t xml:space="preserve">A.  </w:t>
      </w:r>
      <w:r w:rsidR="002F28A5">
        <w:t xml:space="preserve">ERCOT has not attempted to quantify the internal margin of error for all of the output from the </w:t>
      </w:r>
      <w:proofErr w:type="spellStart"/>
      <w:r w:rsidR="002F28A5">
        <w:t>Uplan</w:t>
      </w:r>
      <w:proofErr w:type="spellEnd"/>
      <w:r w:rsidR="002F28A5">
        <w:t xml:space="preserve"> model.  Over approximately 15 years of using the model for transmission planning studies, we have developed an expectation of approximately 0.05% internal margin of error for production cost results, meaning that we don’t consider the production cost results of different model runs that are within this margin of error to be significantly different.  This error assessment is not an indication of how closely the </w:t>
      </w:r>
      <w:proofErr w:type="spellStart"/>
      <w:r w:rsidR="002F28A5">
        <w:t>Uplan</w:t>
      </w:r>
      <w:proofErr w:type="spellEnd"/>
      <w:r w:rsidR="002F28A5">
        <w:t xml:space="preserve"> model tracks actual system outcomes.</w:t>
      </w:r>
    </w:p>
    <w:p w:rsidR="005E0682" w:rsidRDefault="005E0682" w:rsidP="00D00633">
      <w:pPr>
        <w:rPr>
          <w:i/>
        </w:rPr>
      </w:pPr>
    </w:p>
    <w:p w:rsidR="00D00633" w:rsidRDefault="00D00633" w:rsidP="00D00633">
      <w:pPr>
        <w:rPr>
          <w:i/>
        </w:rPr>
      </w:pPr>
      <w:r>
        <w:rPr>
          <w:i/>
        </w:rPr>
        <w:t xml:space="preserve">15.  </w:t>
      </w:r>
      <w:r w:rsidRPr="00D00633">
        <w:rPr>
          <w:i/>
        </w:rPr>
        <w:t>Would it be possible to create tables to show the deltas to revenue and total generation dispatch by zone and technology</w:t>
      </w:r>
      <w:r>
        <w:rPr>
          <w:i/>
        </w:rPr>
        <w:t>? (</w:t>
      </w:r>
      <w:proofErr w:type="spellStart"/>
      <w:r>
        <w:rPr>
          <w:i/>
        </w:rPr>
        <w:t>Vistra</w:t>
      </w:r>
      <w:proofErr w:type="spellEnd"/>
      <w:r>
        <w:rPr>
          <w:i/>
        </w:rPr>
        <w:t>)</w:t>
      </w:r>
    </w:p>
    <w:p w:rsidR="00D00633" w:rsidRDefault="00D00633" w:rsidP="00D00633">
      <w:r>
        <w:t xml:space="preserve">A.  </w:t>
      </w:r>
      <w:r w:rsidRPr="007B7B6E">
        <w:t xml:space="preserve">The </w:t>
      </w:r>
      <w:r>
        <w:t>changes</w:t>
      </w:r>
      <w:r w:rsidRPr="007B7B6E">
        <w:t xml:space="preserve"> </w:t>
      </w:r>
      <w:r>
        <w:t xml:space="preserve">in annual generator revenue and annual generation by zone and technology </w:t>
      </w:r>
      <w:r w:rsidRPr="007B7B6E">
        <w:t>reported by the model for the base case and two sensitivities are</w:t>
      </w:r>
      <w:r>
        <w:t xml:space="preserve"> provided in the following tables, respectively</w:t>
      </w:r>
      <w:r w:rsidRPr="007B7B6E">
        <w:t>:</w:t>
      </w:r>
    </w:p>
    <w:p w:rsidR="005E0682" w:rsidRDefault="005E0682" w:rsidP="00D00633"/>
    <w:p w:rsidR="002F28A5" w:rsidRDefault="002F28A5">
      <w:pPr>
        <w:rPr>
          <w:rFonts w:cstheme="minorHAnsi"/>
          <w:b/>
          <w:color w:val="000000"/>
        </w:rPr>
      </w:pPr>
      <w:r>
        <w:rPr>
          <w:rFonts w:cstheme="minorHAnsi"/>
          <w:b/>
          <w:color w:val="000000"/>
        </w:rPr>
        <w:br w:type="page"/>
      </w:r>
    </w:p>
    <w:p w:rsidR="00AA79CF" w:rsidRPr="005A4BE6" w:rsidRDefault="00AA79CF" w:rsidP="00AA79CF">
      <w:pPr>
        <w:widowControl w:val="0"/>
        <w:autoSpaceDE w:val="0"/>
        <w:autoSpaceDN w:val="0"/>
        <w:adjustRightInd w:val="0"/>
        <w:spacing w:line="360" w:lineRule="auto"/>
        <w:jc w:val="center"/>
        <w:rPr>
          <w:rFonts w:cstheme="minorHAnsi"/>
          <w:b/>
          <w:color w:val="000000"/>
        </w:rPr>
      </w:pPr>
      <w:r>
        <w:rPr>
          <w:rFonts w:cstheme="minorHAnsi"/>
          <w:b/>
          <w:color w:val="000000"/>
        </w:rPr>
        <w:t>Change in Annual Generator Revenue (Low Gas Price Case, in $M)</w:t>
      </w:r>
    </w:p>
    <w:tbl>
      <w:tblPr>
        <w:tblStyle w:val="TableGrid"/>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372"/>
        <w:gridCol w:w="1747"/>
        <w:gridCol w:w="1745"/>
        <w:gridCol w:w="1741"/>
        <w:gridCol w:w="1745"/>
      </w:tblGrid>
      <w:tr w:rsidR="00AA79CF" w:rsidRPr="00D00633" w:rsidTr="00AA79CF">
        <w:trPr>
          <w:trHeight w:val="576"/>
          <w:jc w:val="center"/>
        </w:trPr>
        <w:tc>
          <w:tcPr>
            <w:tcW w:w="2372" w:type="dxa"/>
            <w:tcBorders>
              <w:top w:val="single" w:sz="4" w:space="0" w:color="1F497D" w:themeColor="text2"/>
              <w:left w:val="single" w:sz="4" w:space="0" w:color="1F497D" w:themeColor="text2"/>
              <w:bottom w:val="nil"/>
              <w:right w:val="nil"/>
            </w:tcBorders>
            <w:shd w:val="solid" w:color="003865" w:fill="auto"/>
            <w:vAlign w:val="center"/>
          </w:tcPr>
          <w:p w:rsidR="00AA79CF" w:rsidRPr="00BB2B40" w:rsidRDefault="00AA79CF" w:rsidP="00AA79CF">
            <w:pPr>
              <w:rPr>
                <w:rFonts w:asciiTheme="minorHAnsi" w:hAnsiTheme="minorHAnsi" w:cstheme="minorHAnsi"/>
                <w:b/>
                <w:szCs w:val="22"/>
              </w:rPr>
            </w:pPr>
          </w:p>
        </w:tc>
        <w:tc>
          <w:tcPr>
            <w:tcW w:w="1747" w:type="dxa"/>
            <w:tcBorders>
              <w:top w:val="single" w:sz="4" w:space="0" w:color="1F497D" w:themeColor="text2"/>
              <w:left w:val="nil"/>
              <w:bottom w:val="nil"/>
              <w:right w:val="nil"/>
            </w:tcBorders>
            <w:shd w:val="solid" w:color="003865" w:fill="auto"/>
            <w:vAlign w:val="center"/>
          </w:tcPr>
          <w:p w:rsidR="00AA79CF" w:rsidRPr="00BB2B40" w:rsidRDefault="00AA79CF" w:rsidP="00AA79CF">
            <w:pPr>
              <w:jc w:val="center"/>
              <w:rPr>
                <w:rFonts w:asciiTheme="minorHAnsi" w:hAnsiTheme="minorHAnsi" w:cstheme="minorHAnsi"/>
                <w:b/>
                <w:szCs w:val="22"/>
              </w:rPr>
            </w:pPr>
            <w:r>
              <w:rPr>
                <w:rFonts w:asciiTheme="minorHAnsi" w:hAnsiTheme="minorHAnsi" w:cstheme="minorHAnsi"/>
                <w:b/>
                <w:szCs w:val="22"/>
              </w:rPr>
              <w:t>Houston Zone</w:t>
            </w:r>
          </w:p>
        </w:tc>
        <w:tc>
          <w:tcPr>
            <w:tcW w:w="1745" w:type="dxa"/>
            <w:tcBorders>
              <w:top w:val="single" w:sz="4" w:space="0" w:color="1F497D" w:themeColor="text2"/>
              <w:left w:val="nil"/>
              <w:bottom w:val="nil"/>
              <w:right w:val="nil"/>
            </w:tcBorders>
            <w:shd w:val="solid" w:color="003865" w:fill="auto"/>
            <w:vAlign w:val="center"/>
          </w:tcPr>
          <w:p w:rsidR="00AA79CF" w:rsidRPr="00BB2B40" w:rsidRDefault="00AA79CF" w:rsidP="00AA79CF">
            <w:pPr>
              <w:jc w:val="center"/>
              <w:rPr>
                <w:rFonts w:asciiTheme="minorHAnsi" w:hAnsiTheme="minorHAnsi" w:cstheme="minorHAnsi"/>
                <w:b/>
                <w:szCs w:val="22"/>
              </w:rPr>
            </w:pPr>
            <w:r>
              <w:rPr>
                <w:rFonts w:asciiTheme="minorHAnsi" w:hAnsiTheme="minorHAnsi" w:cstheme="minorHAnsi"/>
                <w:b/>
                <w:szCs w:val="22"/>
              </w:rPr>
              <w:t>North Zone</w:t>
            </w:r>
          </w:p>
        </w:tc>
        <w:tc>
          <w:tcPr>
            <w:tcW w:w="1741" w:type="dxa"/>
            <w:tcBorders>
              <w:top w:val="single" w:sz="4" w:space="0" w:color="1F497D" w:themeColor="text2"/>
              <w:left w:val="nil"/>
              <w:bottom w:val="nil"/>
              <w:right w:val="nil"/>
            </w:tcBorders>
            <w:shd w:val="solid" w:color="003865" w:fill="auto"/>
            <w:vAlign w:val="center"/>
          </w:tcPr>
          <w:p w:rsidR="00AA79CF" w:rsidRPr="007922B0" w:rsidRDefault="00AA79CF" w:rsidP="00AA79CF">
            <w:pPr>
              <w:jc w:val="center"/>
              <w:rPr>
                <w:rFonts w:asciiTheme="minorHAnsi" w:hAnsiTheme="minorHAnsi" w:cstheme="minorHAnsi"/>
                <w:b/>
                <w:szCs w:val="22"/>
              </w:rPr>
            </w:pPr>
            <w:r>
              <w:rPr>
                <w:rFonts w:asciiTheme="minorHAnsi" w:hAnsiTheme="minorHAnsi" w:cstheme="minorHAnsi"/>
                <w:b/>
                <w:szCs w:val="22"/>
              </w:rPr>
              <w:t>South Zone</w:t>
            </w:r>
          </w:p>
        </w:tc>
        <w:tc>
          <w:tcPr>
            <w:tcW w:w="1745" w:type="dxa"/>
            <w:tcBorders>
              <w:top w:val="single" w:sz="4" w:space="0" w:color="1F497D" w:themeColor="text2"/>
              <w:left w:val="nil"/>
              <w:bottom w:val="nil"/>
              <w:right w:val="single" w:sz="4" w:space="0" w:color="1F497D" w:themeColor="text2"/>
            </w:tcBorders>
            <w:shd w:val="solid" w:color="003865" w:fill="auto"/>
            <w:vAlign w:val="center"/>
          </w:tcPr>
          <w:p w:rsidR="00AA79CF" w:rsidRPr="00BB2B40" w:rsidRDefault="00AA79CF" w:rsidP="00AA79CF">
            <w:pPr>
              <w:jc w:val="center"/>
              <w:rPr>
                <w:rFonts w:asciiTheme="minorHAnsi" w:hAnsiTheme="minorHAnsi" w:cstheme="minorHAnsi"/>
                <w:b/>
                <w:szCs w:val="22"/>
              </w:rPr>
            </w:pPr>
            <w:r>
              <w:rPr>
                <w:rFonts w:asciiTheme="minorHAnsi" w:hAnsiTheme="minorHAnsi" w:cstheme="minorHAnsi"/>
                <w:b/>
                <w:szCs w:val="22"/>
              </w:rPr>
              <w:t>West Zone</w:t>
            </w:r>
          </w:p>
        </w:tc>
      </w:tr>
      <w:tr w:rsidR="00AA79CF"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AA79CF" w:rsidRPr="00F360BB" w:rsidRDefault="002F28A5" w:rsidP="00AA79CF">
            <w:pPr>
              <w:rPr>
                <w:rFonts w:asciiTheme="minorHAnsi" w:hAnsiTheme="minorHAnsi" w:cstheme="minorHAnsi"/>
                <w:sz w:val="18"/>
                <w:szCs w:val="22"/>
              </w:rPr>
            </w:pPr>
            <w:r w:rsidRPr="00F360BB">
              <w:rPr>
                <w:rFonts w:asciiTheme="minorHAnsi" w:hAnsiTheme="minorHAnsi" w:cstheme="minorHAnsi"/>
                <w:sz w:val="18"/>
                <w:szCs w:val="22"/>
              </w:rPr>
              <w:t>Combined-cycle greater than 90 MW</w:t>
            </w:r>
          </w:p>
        </w:tc>
        <w:tc>
          <w:tcPr>
            <w:tcW w:w="1747"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88.2</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-120.1</w:t>
            </w:r>
          </w:p>
        </w:tc>
        <w:tc>
          <w:tcPr>
            <w:tcW w:w="1741"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-2.9</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-21.7</w:t>
            </w:r>
          </w:p>
        </w:tc>
      </w:tr>
      <w:tr w:rsidR="00AA79CF"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AA79CF" w:rsidRPr="00F360BB" w:rsidRDefault="002F28A5" w:rsidP="002F28A5">
            <w:pPr>
              <w:rPr>
                <w:rFonts w:asciiTheme="minorHAnsi" w:hAnsiTheme="minorHAnsi" w:cstheme="minorHAnsi"/>
                <w:sz w:val="18"/>
                <w:szCs w:val="22"/>
              </w:rPr>
            </w:pPr>
            <w:r w:rsidRPr="00F360BB">
              <w:rPr>
                <w:rFonts w:asciiTheme="minorHAnsi" w:hAnsiTheme="minorHAnsi" w:cstheme="minorHAnsi"/>
                <w:sz w:val="18"/>
                <w:szCs w:val="22"/>
              </w:rPr>
              <w:t>Combined-cycle less than or equal to 90 MW</w:t>
            </w:r>
          </w:p>
        </w:tc>
        <w:tc>
          <w:tcPr>
            <w:tcW w:w="1747"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19.1</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8.6</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-6.0</w:t>
            </w:r>
          </w:p>
        </w:tc>
      </w:tr>
      <w:tr w:rsidR="00AA79CF"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AA79CF" w:rsidRPr="00F360BB" w:rsidRDefault="002F28A5" w:rsidP="00AA79CF">
            <w:pPr>
              <w:rPr>
                <w:rFonts w:asciiTheme="minorHAnsi" w:hAnsiTheme="minorHAnsi" w:cstheme="minorHAnsi"/>
                <w:sz w:val="18"/>
                <w:szCs w:val="22"/>
              </w:rPr>
            </w:pPr>
            <w:r w:rsidRPr="00F360BB">
              <w:rPr>
                <w:rFonts w:asciiTheme="minorHAnsi" w:hAnsiTheme="minorHAnsi" w:cstheme="minorHAnsi"/>
                <w:sz w:val="18"/>
                <w:szCs w:val="22"/>
              </w:rPr>
              <w:t>Coal and lignite</w:t>
            </w:r>
          </w:p>
        </w:tc>
        <w:tc>
          <w:tcPr>
            <w:tcW w:w="1747"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12.3</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-58.5</w:t>
            </w:r>
          </w:p>
        </w:tc>
        <w:tc>
          <w:tcPr>
            <w:tcW w:w="1741"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-0.5</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-2.7</w:t>
            </w:r>
          </w:p>
        </w:tc>
      </w:tr>
      <w:tr w:rsidR="00AA79CF"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AA79CF" w:rsidRPr="00F360BB" w:rsidRDefault="002F28A5" w:rsidP="00AA79CF">
            <w:pPr>
              <w:rPr>
                <w:rFonts w:asciiTheme="minorHAnsi" w:hAnsiTheme="minorHAnsi" w:cstheme="minorHAnsi"/>
                <w:sz w:val="18"/>
                <w:szCs w:val="22"/>
              </w:rPr>
            </w:pPr>
            <w:r w:rsidRPr="00F360BB">
              <w:rPr>
                <w:rFonts w:asciiTheme="minorHAnsi" w:hAnsiTheme="minorHAnsi" w:cstheme="minorHAnsi"/>
                <w:sz w:val="18"/>
                <w:szCs w:val="22"/>
              </w:rPr>
              <w:t>Reciprocating engines</w:t>
            </w:r>
          </w:p>
        </w:tc>
        <w:tc>
          <w:tcPr>
            <w:tcW w:w="1747"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-1.5</w:t>
            </w:r>
          </w:p>
        </w:tc>
        <w:tc>
          <w:tcPr>
            <w:tcW w:w="1741"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-2.3</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w:t>
            </w:r>
          </w:p>
        </w:tc>
      </w:tr>
      <w:tr w:rsidR="00AA79CF"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AA79CF" w:rsidRPr="00F360BB" w:rsidRDefault="00AA79CF" w:rsidP="002F28A5">
            <w:pPr>
              <w:rPr>
                <w:rFonts w:asciiTheme="minorHAnsi" w:hAnsiTheme="minorHAnsi" w:cstheme="minorHAnsi"/>
                <w:sz w:val="18"/>
                <w:szCs w:val="22"/>
              </w:rPr>
            </w:pPr>
            <w:r w:rsidRPr="00F360BB">
              <w:rPr>
                <w:rFonts w:asciiTheme="minorHAnsi" w:hAnsiTheme="minorHAnsi" w:cstheme="minorHAnsi"/>
                <w:sz w:val="18"/>
                <w:szCs w:val="22"/>
              </w:rPr>
              <w:t>G</w:t>
            </w:r>
            <w:r w:rsidR="002F28A5" w:rsidRPr="00F360BB">
              <w:rPr>
                <w:rFonts w:asciiTheme="minorHAnsi" w:hAnsiTheme="minorHAnsi" w:cstheme="minorHAnsi"/>
                <w:sz w:val="18"/>
                <w:szCs w:val="22"/>
              </w:rPr>
              <w:t>as steam non-reheat or boiler without air-preheater</w:t>
            </w:r>
          </w:p>
        </w:tc>
        <w:tc>
          <w:tcPr>
            <w:tcW w:w="1747"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0.5</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-0.1</w:t>
            </w:r>
          </w:p>
        </w:tc>
        <w:tc>
          <w:tcPr>
            <w:tcW w:w="1741"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-0.1</w:t>
            </w:r>
          </w:p>
        </w:tc>
      </w:tr>
      <w:tr w:rsidR="00AA79CF"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AA79CF" w:rsidRPr="00F360BB" w:rsidRDefault="002F28A5" w:rsidP="00AA79CF">
            <w:pPr>
              <w:rPr>
                <w:rFonts w:asciiTheme="minorHAnsi" w:hAnsiTheme="minorHAnsi" w:cstheme="minorHAnsi"/>
                <w:sz w:val="18"/>
                <w:szCs w:val="22"/>
              </w:rPr>
            </w:pPr>
            <w:r w:rsidRPr="00F360BB">
              <w:rPr>
                <w:rFonts w:asciiTheme="minorHAnsi" w:hAnsiTheme="minorHAnsi" w:cstheme="minorHAnsi"/>
                <w:sz w:val="18"/>
                <w:szCs w:val="22"/>
              </w:rPr>
              <w:t>Gas steam reheat boiler</w:t>
            </w:r>
          </w:p>
        </w:tc>
        <w:tc>
          <w:tcPr>
            <w:tcW w:w="1747"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10.3</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-16.9</w:t>
            </w:r>
          </w:p>
        </w:tc>
        <w:tc>
          <w:tcPr>
            <w:tcW w:w="1741"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12.0</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-4.4</w:t>
            </w:r>
          </w:p>
        </w:tc>
      </w:tr>
      <w:tr w:rsidR="00AA79CF"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AA79CF" w:rsidRPr="00F360BB" w:rsidRDefault="002F28A5" w:rsidP="00AA79CF">
            <w:pPr>
              <w:rPr>
                <w:rFonts w:asciiTheme="minorHAnsi" w:hAnsiTheme="minorHAnsi" w:cstheme="minorHAnsi"/>
                <w:sz w:val="18"/>
                <w:szCs w:val="22"/>
              </w:rPr>
            </w:pPr>
            <w:r w:rsidRPr="00F360BB">
              <w:rPr>
                <w:rFonts w:asciiTheme="minorHAnsi" w:hAnsiTheme="minorHAnsi" w:cstheme="minorHAnsi"/>
                <w:sz w:val="18"/>
                <w:szCs w:val="22"/>
              </w:rPr>
              <w:t>Gas steam supercritical boiler</w:t>
            </w:r>
          </w:p>
        </w:tc>
        <w:tc>
          <w:tcPr>
            <w:tcW w:w="1747"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28.9</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w:t>
            </w:r>
          </w:p>
        </w:tc>
      </w:tr>
      <w:tr w:rsidR="00AA79CF"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AA79CF" w:rsidRPr="00F360BB" w:rsidRDefault="00AA79CF" w:rsidP="002F28A5">
            <w:pPr>
              <w:rPr>
                <w:rFonts w:asciiTheme="minorHAnsi" w:hAnsiTheme="minorHAnsi" w:cstheme="minorHAnsi"/>
                <w:sz w:val="18"/>
                <w:szCs w:val="22"/>
              </w:rPr>
            </w:pPr>
            <w:r w:rsidRPr="00F360BB">
              <w:rPr>
                <w:rFonts w:asciiTheme="minorHAnsi" w:hAnsiTheme="minorHAnsi" w:cstheme="minorHAnsi"/>
                <w:sz w:val="18"/>
                <w:szCs w:val="22"/>
              </w:rPr>
              <w:t>H</w:t>
            </w:r>
            <w:r w:rsidR="002F28A5" w:rsidRPr="00F360BB">
              <w:rPr>
                <w:rFonts w:asciiTheme="minorHAnsi" w:hAnsiTheme="minorHAnsi" w:cstheme="minorHAnsi"/>
                <w:sz w:val="18"/>
                <w:szCs w:val="22"/>
              </w:rPr>
              <w:t>ydro</w:t>
            </w:r>
          </w:p>
        </w:tc>
        <w:tc>
          <w:tcPr>
            <w:tcW w:w="1747"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-0.2</w:t>
            </w:r>
          </w:p>
        </w:tc>
        <w:tc>
          <w:tcPr>
            <w:tcW w:w="1741"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-0.0</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Pr>
                <w:rFonts w:asciiTheme="minorHAnsi" w:hAnsiTheme="minorHAnsi" w:cstheme="minorHAnsi"/>
                <w:szCs w:val="22"/>
              </w:rPr>
              <w:t>-</w:t>
            </w:r>
          </w:p>
        </w:tc>
      </w:tr>
      <w:tr w:rsidR="00AA79CF"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AA79CF" w:rsidRPr="00F360BB" w:rsidRDefault="00AA79CF" w:rsidP="002F28A5">
            <w:pPr>
              <w:rPr>
                <w:rFonts w:asciiTheme="minorHAnsi" w:hAnsiTheme="minorHAnsi" w:cstheme="minorHAnsi"/>
                <w:sz w:val="18"/>
                <w:szCs w:val="22"/>
              </w:rPr>
            </w:pPr>
            <w:r w:rsidRPr="00F360BB">
              <w:rPr>
                <w:rFonts w:asciiTheme="minorHAnsi" w:hAnsiTheme="minorHAnsi" w:cstheme="minorHAnsi"/>
                <w:sz w:val="18"/>
                <w:szCs w:val="22"/>
              </w:rPr>
              <w:t>N</w:t>
            </w:r>
            <w:r w:rsidR="002F28A5" w:rsidRPr="00F360BB">
              <w:rPr>
                <w:rFonts w:asciiTheme="minorHAnsi" w:hAnsiTheme="minorHAnsi" w:cstheme="minorHAnsi"/>
                <w:sz w:val="18"/>
                <w:szCs w:val="22"/>
              </w:rPr>
              <w:t>uclear</w:t>
            </w:r>
          </w:p>
        </w:tc>
        <w:tc>
          <w:tcPr>
            <w:tcW w:w="1747"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sidRPr="007922B0">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sidRPr="007922B0">
              <w:rPr>
                <w:rFonts w:asciiTheme="minorHAnsi" w:hAnsiTheme="minorHAnsi" w:cstheme="minorHAnsi"/>
                <w:szCs w:val="22"/>
              </w:rPr>
              <w:t>-1</w:t>
            </w:r>
            <w:r>
              <w:rPr>
                <w:rFonts w:asciiTheme="minorHAnsi" w:hAnsiTheme="minorHAnsi" w:cstheme="minorHAnsi"/>
                <w:szCs w:val="22"/>
              </w:rPr>
              <w:t>3.5</w:t>
            </w:r>
          </w:p>
        </w:tc>
        <w:tc>
          <w:tcPr>
            <w:tcW w:w="1741" w:type="dxa"/>
            <w:tcBorders>
              <w:top w:val="single" w:sz="4" w:space="0" w:color="1F497D" w:themeColor="text2"/>
              <w:left w:val="nil"/>
              <w:bottom w:val="single" w:sz="4" w:space="0" w:color="1F497D" w:themeColor="text2"/>
              <w:right w:val="nil"/>
            </w:tcBorders>
            <w:vAlign w:val="center"/>
          </w:tcPr>
          <w:p w:rsidR="00AA79CF" w:rsidRPr="007922B0" w:rsidRDefault="00220D12" w:rsidP="00AA79CF">
            <w:pPr>
              <w:jc w:val="center"/>
              <w:rPr>
                <w:rFonts w:asciiTheme="minorHAnsi" w:hAnsiTheme="minorHAnsi" w:cstheme="minorHAnsi"/>
                <w:szCs w:val="22"/>
              </w:rPr>
            </w:pPr>
            <w:r>
              <w:rPr>
                <w:rFonts w:asciiTheme="minorHAnsi" w:hAnsiTheme="minorHAnsi" w:cstheme="minorHAnsi"/>
                <w:szCs w:val="22"/>
              </w:rPr>
              <w:t>28.6</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AA79CF">
            <w:pPr>
              <w:jc w:val="center"/>
              <w:rPr>
                <w:rFonts w:asciiTheme="minorHAnsi" w:hAnsiTheme="minorHAnsi" w:cstheme="minorHAnsi"/>
                <w:szCs w:val="22"/>
              </w:rPr>
            </w:pPr>
            <w:r w:rsidRPr="007922B0">
              <w:rPr>
                <w:rFonts w:asciiTheme="minorHAnsi" w:hAnsiTheme="minorHAnsi" w:cstheme="minorHAnsi"/>
                <w:szCs w:val="22"/>
              </w:rPr>
              <w:t>-</w:t>
            </w:r>
          </w:p>
        </w:tc>
      </w:tr>
      <w:tr w:rsidR="00AA79CF"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AA79CF" w:rsidRPr="00F360BB" w:rsidRDefault="002F28A5" w:rsidP="00AA79CF">
            <w:pPr>
              <w:rPr>
                <w:rFonts w:asciiTheme="minorHAnsi" w:hAnsiTheme="minorHAnsi" w:cstheme="minorHAnsi"/>
                <w:sz w:val="18"/>
                <w:szCs w:val="22"/>
              </w:rPr>
            </w:pPr>
            <w:r w:rsidRPr="00F360BB">
              <w:rPr>
                <w:rFonts w:asciiTheme="minorHAnsi" w:hAnsiTheme="minorHAnsi" w:cstheme="minorHAnsi"/>
                <w:sz w:val="18"/>
                <w:szCs w:val="22"/>
              </w:rPr>
              <w:t>Simple-cycle greater than 90 MW</w:t>
            </w:r>
          </w:p>
        </w:tc>
        <w:tc>
          <w:tcPr>
            <w:tcW w:w="1747" w:type="dxa"/>
            <w:tcBorders>
              <w:top w:val="single" w:sz="4" w:space="0" w:color="1F497D" w:themeColor="text2"/>
              <w:left w:val="nil"/>
              <w:bottom w:val="single" w:sz="4" w:space="0" w:color="1F497D" w:themeColor="text2"/>
              <w:right w:val="nil"/>
            </w:tcBorders>
            <w:vAlign w:val="center"/>
          </w:tcPr>
          <w:p w:rsidR="00AA79CF" w:rsidRPr="007922B0" w:rsidRDefault="00220D12" w:rsidP="00AA79CF">
            <w:pPr>
              <w:jc w:val="center"/>
              <w:rPr>
                <w:rFonts w:asciiTheme="minorHAnsi" w:hAnsiTheme="minorHAnsi" w:cstheme="minorHAnsi"/>
                <w:szCs w:val="22"/>
              </w:rPr>
            </w:pPr>
            <w:r>
              <w:rPr>
                <w:rFonts w:asciiTheme="minorHAnsi" w:hAnsiTheme="minorHAnsi" w:cstheme="minorHAnsi"/>
                <w:szCs w:val="22"/>
              </w:rPr>
              <w:t>7.1</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220D12">
            <w:pPr>
              <w:jc w:val="center"/>
              <w:rPr>
                <w:rFonts w:asciiTheme="minorHAnsi" w:hAnsiTheme="minorHAnsi" w:cstheme="minorHAnsi"/>
                <w:szCs w:val="22"/>
              </w:rPr>
            </w:pPr>
            <w:r>
              <w:rPr>
                <w:rFonts w:asciiTheme="minorHAnsi" w:hAnsiTheme="minorHAnsi" w:cstheme="minorHAnsi"/>
                <w:szCs w:val="22"/>
              </w:rPr>
              <w:t>-</w:t>
            </w:r>
            <w:r w:rsidR="00220D12">
              <w:rPr>
                <w:rFonts w:asciiTheme="minorHAnsi" w:hAnsiTheme="minorHAnsi" w:cstheme="minorHAnsi"/>
                <w:szCs w:val="22"/>
              </w:rPr>
              <w:t>8.3</w:t>
            </w:r>
          </w:p>
        </w:tc>
        <w:tc>
          <w:tcPr>
            <w:tcW w:w="1741" w:type="dxa"/>
            <w:tcBorders>
              <w:top w:val="single" w:sz="4" w:space="0" w:color="1F497D" w:themeColor="text2"/>
              <w:left w:val="nil"/>
              <w:bottom w:val="single" w:sz="4" w:space="0" w:color="1F497D" w:themeColor="text2"/>
              <w:right w:val="nil"/>
            </w:tcBorders>
            <w:vAlign w:val="center"/>
          </w:tcPr>
          <w:p w:rsidR="00AA79CF" w:rsidRPr="007922B0" w:rsidRDefault="00220D12" w:rsidP="00AA79CF">
            <w:pPr>
              <w:jc w:val="center"/>
              <w:rPr>
                <w:rFonts w:asciiTheme="minorHAnsi" w:hAnsiTheme="minorHAnsi" w:cstheme="minorHAnsi"/>
                <w:szCs w:val="22"/>
              </w:rPr>
            </w:pPr>
            <w:r>
              <w:rPr>
                <w:rFonts w:asciiTheme="minorHAnsi" w:hAnsiTheme="minorHAnsi" w:cstheme="minorHAnsi"/>
                <w:szCs w:val="22"/>
              </w:rPr>
              <w:t>9.4</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220D12">
            <w:pPr>
              <w:jc w:val="center"/>
              <w:rPr>
                <w:rFonts w:asciiTheme="minorHAnsi" w:hAnsiTheme="minorHAnsi" w:cstheme="minorHAnsi"/>
                <w:szCs w:val="22"/>
              </w:rPr>
            </w:pPr>
            <w:r>
              <w:rPr>
                <w:rFonts w:asciiTheme="minorHAnsi" w:hAnsiTheme="minorHAnsi" w:cstheme="minorHAnsi"/>
                <w:szCs w:val="22"/>
              </w:rPr>
              <w:t>-</w:t>
            </w:r>
            <w:r w:rsidR="00220D12">
              <w:rPr>
                <w:rFonts w:asciiTheme="minorHAnsi" w:hAnsiTheme="minorHAnsi" w:cstheme="minorHAnsi"/>
                <w:szCs w:val="22"/>
              </w:rPr>
              <w:t>1.0</w:t>
            </w:r>
          </w:p>
        </w:tc>
      </w:tr>
      <w:tr w:rsidR="00AA79CF"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AA79CF" w:rsidRPr="00F360BB" w:rsidRDefault="002F28A5" w:rsidP="00AA79CF">
            <w:pPr>
              <w:rPr>
                <w:rFonts w:asciiTheme="minorHAnsi" w:hAnsiTheme="minorHAnsi" w:cstheme="minorHAnsi"/>
                <w:sz w:val="18"/>
                <w:szCs w:val="22"/>
              </w:rPr>
            </w:pPr>
            <w:r w:rsidRPr="00F360BB">
              <w:rPr>
                <w:rFonts w:asciiTheme="minorHAnsi" w:hAnsiTheme="minorHAnsi" w:cstheme="minorHAnsi"/>
                <w:sz w:val="18"/>
                <w:szCs w:val="22"/>
              </w:rPr>
              <w:t>Simple-cycle less than or equal to 90 MW</w:t>
            </w:r>
          </w:p>
        </w:tc>
        <w:tc>
          <w:tcPr>
            <w:tcW w:w="1747" w:type="dxa"/>
            <w:tcBorders>
              <w:top w:val="single" w:sz="4" w:space="0" w:color="1F497D" w:themeColor="text2"/>
              <w:left w:val="nil"/>
              <w:bottom w:val="single" w:sz="4" w:space="0" w:color="1F497D" w:themeColor="text2"/>
              <w:right w:val="nil"/>
            </w:tcBorders>
            <w:vAlign w:val="center"/>
          </w:tcPr>
          <w:p w:rsidR="00AA79CF" w:rsidRPr="007922B0" w:rsidRDefault="00220D12" w:rsidP="00AA79CF">
            <w:pPr>
              <w:jc w:val="center"/>
              <w:rPr>
                <w:rFonts w:asciiTheme="minorHAnsi" w:hAnsiTheme="minorHAnsi" w:cstheme="minorHAnsi"/>
                <w:szCs w:val="22"/>
              </w:rPr>
            </w:pPr>
            <w:r>
              <w:rPr>
                <w:rFonts w:asciiTheme="minorHAnsi" w:hAnsiTheme="minorHAnsi" w:cstheme="minorHAnsi"/>
                <w:szCs w:val="22"/>
              </w:rPr>
              <w:t>5.5</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220D12">
            <w:pPr>
              <w:jc w:val="center"/>
              <w:rPr>
                <w:rFonts w:asciiTheme="minorHAnsi" w:hAnsiTheme="minorHAnsi" w:cstheme="minorHAnsi"/>
                <w:szCs w:val="22"/>
              </w:rPr>
            </w:pPr>
            <w:r>
              <w:rPr>
                <w:rFonts w:asciiTheme="minorHAnsi" w:hAnsiTheme="minorHAnsi" w:cstheme="minorHAnsi"/>
                <w:szCs w:val="22"/>
              </w:rPr>
              <w:t>-</w:t>
            </w:r>
            <w:r w:rsidR="00220D12">
              <w:rPr>
                <w:rFonts w:asciiTheme="minorHAnsi" w:hAnsiTheme="minorHAnsi" w:cstheme="minorHAnsi"/>
                <w:szCs w:val="22"/>
              </w:rPr>
              <w:t>0.1</w:t>
            </w:r>
          </w:p>
        </w:tc>
        <w:tc>
          <w:tcPr>
            <w:tcW w:w="1741" w:type="dxa"/>
            <w:tcBorders>
              <w:top w:val="single" w:sz="4" w:space="0" w:color="1F497D" w:themeColor="text2"/>
              <w:left w:val="nil"/>
              <w:bottom w:val="single" w:sz="4" w:space="0" w:color="1F497D" w:themeColor="text2"/>
              <w:right w:val="nil"/>
            </w:tcBorders>
            <w:vAlign w:val="center"/>
          </w:tcPr>
          <w:p w:rsidR="00AA79CF" w:rsidRPr="007922B0" w:rsidRDefault="00AA79CF" w:rsidP="00220D12">
            <w:pPr>
              <w:jc w:val="center"/>
              <w:rPr>
                <w:rFonts w:asciiTheme="minorHAnsi" w:hAnsiTheme="minorHAnsi" w:cstheme="minorHAnsi"/>
                <w:szCs w:val="22"/>
              </w:rPr>
            </w:pPr>
            <w:r>
              <w:rPr>
                <w:rFonts w:asciiTheme="minorHAnsi" w:hAnsiTheme="minorHAnsi" w:cstheme="minorHAnsi"/>
                <w:szCs w:val="22"/>
              </w:rPr>
              <w:t>-</w:t>
            </w:r>
            <w:r w:rsidR="00220D12">
              <w:rPr>
                <w:rFonts w:asciiTheme="minorHAnsi" w:hAnsiTheme="minorHAnsi" w:cstheme="minorHAnsi"/>
                <w:szCs w:val="22"/>
              </w:rPr>
              <w:t>0.5</w:t>
            </w:r>
          </w:p>
        </w:tc>
        <w:tc>
          <w:tcPr>
            <w:tcW w:w="1745" w:type="dxa"/>
            <w:tcBorders>
              <w:top w:val="single" w:sz="4" w:space="0" w:color="1F497D" w:themeColor="text2"/>
              <w:left w:val="nil"/>
              <w:bottom w:val="single" w:sz="4" w:space="0" w:color="1F497D" w:themeColor="text2"/>
              <w:right w:val="nil"/>
            </w:tcBorders>
            <w:vAlign w:val="center"/>
          </w:tcPr>
          <w:p w:rsidR="00AA79CF" w:rsidRPr="007922B0" w:rsidRDefault="00AA79CF" w:rsidP="00220D12">
            <w:pPr>
              <w:jc w:val="center"/>
              <w:rPr>
                <w:rFonts w:asciiTheme="minorHAnsi" w:hAnsiTheme="minorHAnsi" w:cstheme="minorHAnsi"/>
                <w:szCs w:val="22"/>
              </w:rPr>
            </w:pPr>
            <w:r>
              <w:rPr>
                <w:rFonts w:asciiTheme="minorHAnsi" w:hAnsiTheme="minorHAnsi" w:cstheme="minorHAnsi"/>
                <w:szCs w:val="22"/>
              </w:rPr>
              <w:t>-</w:t>
            </w:r>
            <w:r w:rsidR="00220D12">
              <w:rPr>
                <w:rFonts w:asciiTheme="minorHAnsi" w:hAnsiTheme="minorHAnsi" w:cstheme="minorHAnsi"/>
                <w:szCs w:val="22"/>
              </w:rPr>
              <w:t>0.9</w:t>
            </w:r>
          </w:p>
        </w:tc>
      </w:tr>
      <w:tr w:rsidR="00AA79CF"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AA79CF" w:rsidRPr="00F360BB" w:rsidRDefault="002F28A5" w:rsidP="00AA79CF">
            <w:pPr>
              <w:rPr>
                <w:rFonts w:asciiTheme="minorHAnsi" w:hAnsiTheme="minorHAnsi" w:cstheme="minorHAnsi"/>
                <w:sz w:val="18"/>
                <w:szCs w:val="22"/>
              </w:rPr>
            </w:pPr>
            <w:proofErr w:type="spellStart"/>
            <w:r w:rsidRPr="00F360BB">
              <w:rPr>
                <w:rFonts w:asciiTheme="minorHAnsi" w:hAnsiTheme="minorHAnsi" w:cstheme="minorHAnsi"/>
                <w:sz w:val="18"/>
                <w:szCs w:val="22"/>
              </w:rPr>
              <w:t>PhotoVoltaic</w:t>
            </w:r>
            <w:proofErr w:type="spellEnd"/>
            <w:r w:rsidR="00F360BB" w:rsidRPr="00F360BB">
              <w:rPr>
                <w:rFonts w:asciiTheme="minorHAnsi" w:hAnsiTheme="minorHAnsi" w:cstheme="minorHAnsi"/>
                <w:sz w:val="18"/>
                <w:szCs w:val="22"/>
              </w:rPr>
              <w:t xml:space="preserve"> Generation Resources</w:t>
            </w:r>
            <w:r w:rsidRPr="00F360BB">
              <w:rPr>
                <w:rFonts w:asciiTheme="minorHAnsi" w:hAnsiTheme="minorHAnsi" w:cstheme="minorHAnsi"/>
                <w:sz w:val="18"/>
                <w:szCs w:val="22"/>
              </w:rPr>
              <w:t xml:space="preserve"> </w:t>
            </w:r>
          </w:p>
        </w:tc>
        <w:tc>
          <w:tcPr>
            <w:tcW w:w="1747" w:type="dxa"/>
            <w:tcBorders>
              <w:top w:val="single" w:sz="4" w:space="0" w:color="1F497D" w:themeColor="text2"/>
              <w:left w:val="nil"/>
              <w:bottom w:val="single" w:sz="4" w:space="0" w:color="1F497D" w:themeColor="text2"/>
              <w:right w:val="nil"/>
            </w:tcBorders>
            <w:vAlign w:val="center"/>
          </w:tcPr>
          <w:p w:rsidR="00AA79CF" w:rsidRPr="000A4D5C" w:rsidRDefault="00AA79CF" w:rsidP="00AA79CF">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AA79CF" w:rsidRPr="000A4D5C" w:rsidRDefault="00AA79CF" w:rsidP="00AA79CF">
            <w:pPr>
              <w:jc w:val="center"/>
              <w:rPr>
                <w:rFonts w:asciiTheme="minorHAnsi" w:hAnsiTheme="minorHAnsi" w:cstheme="minorHAnsi"/>
                <w:szCs w:val="22"/>
              </w:rPr>
            </w:pPr>
            <w:r>
              <w:rPr>
                <w:rFonts w:asciiTheme="minorHAnsi" w:hAnsiTheme="minorHAnsi" w:cstheme="minorHAnsi"/>
                <w:szCs w:val="22"/>
              </w:rPr>
              <w:t>-</w:t>
            </w:r>
            <w:r w:rsidR="00220D12">
              <w:rPr>
                <w:rFonts w:asciiTheme="minorHAnsi" w:hAnsiTheme="minorHAnsi" w:cstheme="minorHAnsi"/>
                <w:szCs w:val="22"/>
              </w:rPr>
              <w:t>0.9</w:t>
            </w:r>
          </w:p>
        </w:tc>
        <w:tc>
          <w:tcPr>
            <w:tcW w:w="1741" w:type="dxa"/>
            <w:tcBorders>
              <w:top w:val="single" w:sz="4" w:space="0" w:color="1F497D" w:themeColor="text2"/>
              <w:left w:val="nil"/>
              <w:bottom w:val="single" w:sz="4" w:space="0" w:color="1F497D" w:themeColor="text2"/>
              <w:right w:val="nil"/>
            </w:tcBorders>
            <w:vAlign w:val="center"/>
          </w:tcPr>
          <w:p w:rsidR="00AA79CF" w:rsidRDefault="00220D12" w:rsidP="00AA79CF">
            <w:pPr>
              <w:jc w:val="center"/>
              <w:rPr>
                <w:rFonts w:cstheme="minorHAnsi"/>
              </w:rPr>
            </w:pPr>
            <w:r>
              <w:rPr>
                <w:rFonts w:asciiTheme="minorHAnsi" w:hAnsiTheme="minorHAnsi" w:cstheme="minorHAnsi"/>
                <w:szCs w:val="22"/>
              </w:rPr>
              <w:t>-</w:t>
            </w:r>
            <w:r w:rsidR="00AA79CF">
              <w:rPr>
                <w:rFonts w:asciiTheme="minorHAnsi" w:hAnsiTheme="minorHAnsi" w:cstheme="minorHAnsi"/>
                <w:szCs w:val="22"/>
              </w:rPr>
              <w:t>0</w:t>
            </w:r>
            <w:r>
              <w:rPr>
                <w:rFonts w:asciiTheme="minorHAnsi" w:hAnsiTheme="minorHAnsi" w:cstheme="minorHAnsi"/>
                <w:szCs w:val="22"/>
              </w:rPr>
              <w:t>.0</w:t>
            </w:r>
          </w:p>
        </w:tc>
        <w:tc>
          <w:tcPr>
            <w:tcW w:w="1745" w:type="dxa"/>
            <w:tcBorders>
              <w:top w:val="single" w:sz="4" w:space="0" w:color="1F497D" w:themeColor="text2"/>
              <w:left w:val="nil"/>
              <w:bottom w:val="single" w:sz="4" w:space="0" w:color="1F497D" w:themeColor="text2"/>
              <w:right w:val="nil"/>
            </w:tcBorders>
            <w:vAlign w:val="center"/>
          </w:tcPr>
          <w:p w:rsidR="00AA79CF" w:rsidRPr="000A4D5C" w:rsidRDefault="00220D12" w:rsidP="00AA79CF">
            <w:pPr>
              <w:jc w:val="center"/>
              <w:rPr>
                <w:rFonts w:asciiTheme="minorHAnsi" w:hAnsiTheme="minorHAnsi" w:cstheme="minorHAnsi"/>
                <w:szCs w:val="22"/>
              </w:rPr>
            </w:pPr>
            <w:r>
              <w:rPr>
                <w:rFonts w:asciiTheme="minorHAnsi" w:hAnsiTheme="minorHAnsi" w:cstheme="minorHAnsi"/>
                <w:szCs w:val="22"/>
              </w:rPr>
              <w:t>-11.8</w:t>
            </w:r>
          </w:p>
        </w:tc>
      </w:tr>
      <w:tr w:rsidR="00AA79CF" w:rsidRPr="000A4D5C" w:rsidTr="00F360B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AA79CF" w:rsidRPr="00F360BB" w:rsidRDefault="002F28A5" w:rsidP="00AA79CF">
            <w:pPr>
              <w:rPr>
                <w:rFonts w:asciiTheme="minorHAnsi" w:hAnsiTheme="minorHAnsi" w:cstheme="minorHAnsi"/>
                <w:sz w:val="18"/>
                <w:szCs w:val="22"/>
              </w:rPr>
            </w:pPr>
            <w:r w:rsidRPr="00F360BB">
              <w:rPr>
                <w:rFonts w:asciiTheme="minorHAnsi" w:hAnsiTheme="minorHAnsi" w:cstheme="minorHAnsi"/>
                <w:sz w:val="18"/>
                <w:szCs w:val="22"/>
              </w:rPr>
              <w:t>Wind generation Resources</w:t>
            </w:r>
          </w:p>
        </w:tc>
        <w:tc>
          <w:tcPr>
            <w:tcW w:w="1747" w:type="dxa"/>
            <w:tcBorders>
              <w:top w:val="single" w:sz="4" w:space="0" w:color="1F497D" w:themeColor="text2"/>
              <w:left w:val="nil"/>
              <w:bottom w:val="single" w:sz="4" w:space="0" w:color="1F497D" w:themeColor="text2"/>
              <w:right w:val="nil"/>
            </w:tcBorders>
            <w:vAlign w:val="center"/>
          </w:tcPr>
          <w:p w:rsidR="00AA79CF" w:rsidRPr="000A4D5C" w:rsidRDefault="00AA79CF" w:rsidP="00AA79CF">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AA79CF" w:rsidRPr="000A4D5C" w:rsidRDefault="00220D12" w:rsidP="00AA79CF">
            <w:pPr>
              <w:jc w:val="center"/>
              <w:rPr>
                <w:rFonts w:asciiTheme="minorHAnsi" w:hAnsiTheme="minorHAnsi" w:cstheme="minorHAnsi"/>
                <w:szCs w:val="22"/>
              </w:rPr>
            </w:pPr>
            <w:r>
              <w:rPr>
                <w:rFonts w:asciiTheme="minorHAnsi" w:hAnsiTheme="minorHAnsi" w:cstheme="minorHAnsi"/>
                <w:szCs w:val="22"/>
              </w:rPr>
              <w:t>-2.7</w:t>
            </w:r>
          </w:p>
        </w:tc>
        <w:tc>
          <w:tcPr>
            <w:tcW w:w="1741" w:type="dxa"/>
            <w:tcBorders>
              <w:top w:val="single" w:sz="4" w:space="0" w:color="1F497D" w:themeColor="text2"/>
              <w:left w:val="nil"/>
              <w:bottom w:val="single" w:sz="4" w:space="0" w:color="1F497D" w:themeColor="text2"/>
              <w:right w:val="nil"/>
            </w:tcBorders>
            <w:vAlign w:val="center"/>
          </w:tcPr>
          <w:p w:rsidR="00AA79CF" w:rsidRDefault="00220D12" w:rsidP="00AA79CF">
            <w:pPr>
              <w:jc w:val="center"/>
              <w:rPr>
                <w:rFonts w:cstheme="minorHAnsi"/>
              </w:rPr>
            </w:pPr>
            <w:r>
              <w:rPr>
                <w:rFonts w:asciiTheme="minorHAnsi" w:hAnsiTheme="minorHAnsi" w:cstheme="minorHAnsi"/>
                <w:szCs w:val="22"/>
              </w:rPr>
              <w:t>-14.1</w:t>
            </w:r>
          </w:p>
        </w:tc>
        <w:tc>
          <w:tcPr>
            <w:tcW w:w="1745" w:type="dxa"/>
            <w:tcBorders>
              <w:top w:val="single" w:sz="4" w:space="0" w:color="1F497D" w:themeColor="text2"/>
              <w:left w:val="nil"/>
              <w:bottom w:val="single" w:sz="4" w:space="0" w:color="1F497D" w:themeColor="text2"/>
              <w:right w:val="nil"/>
            </w:tcBorders>
            <w:vAlign w:val="center"/>
          </w:tcPr>
          <w:p w:rsidR="00AA79CF" w:rsidRPr="000A4D5C" w:rsidRDefault="00220D12" w:rsidP="00AA79CF">
            <w:pPr>
              <w:jc w:val="center"/>
              <w:rPr>
                <w:rFonts w:asciiTheme="minorHAnsi" w:hAnsiTheme="minorHAnsi" w:cstheme="minorHAnsi"/>
                <w:szCs w:val="22"/>
              </w:rPr>
            </w:pPr>
            <w:r>
              <w:rPr>
                <w:rFonts w:asciiTheme="minorHAnsi" w:hAnsiTheme="minorHAnsi" w:cstheme="minorHAnsi"/>
                <w:szCs w:val="22"/>
              </w:rPr>
              <w:t>-103.4</w:t>
            </w:r>
          </w:p>
        </w:tc>
      </w:tr>
      <w:tr w:rsidR="00F360BB" w:rsidRPr="00F360BB" w:rsidTr="00AA79CF">
        <w:trPr>
          <w:trHeight w:val="576"/>
          <w:jc w:val="center"/>
        </w:trPr>
        <w:tc>
          <w:tcPr>
            <w:tcW w:w="2372" w:type="dxa"/>
            <w:tcBorders>
              <w:top w:val="single" w:sz="4" w:space="0" w:color="1F497D" w:themeColor="text2"/>
              <w:left w:val="nil"/>
              <w:bottom w:val="nil"/>
              <w:right w:val="nil"/>
            </w:tcBorders>
            <w:vAlign w:val="center"/>
          </w:tcPr>
          <w:p w:rsidR="00F360BB" w:rsidRPr="00F360BB" w:rsidRDefault="00F360BB" w:rsidP="00F360BB">
            <w:pPr>
              <w:rPr>
                <w:rFonts w:asciiTheme="minorHAnsi" w:hAnsiTheme="minorHAnsi" w:cstheme="minorHAnsi"/>
                <w:sz w:val="18"/>
                <w:szCs w:val="22"/>
              </w:rPr>
            </w:pPr>
            <w:r w:rsidRPr="00F360BB">
              <w:rPr>
                <w:rFonts w:asciiTheme="minorHAnsi" w:hAnsiTheme="minorHAnsi" w:cstheme="minorHAnsi"/>
                <w:sz w:val="18"/>
                <w:szCs w:val="22"/>
              </w:rPr>
              <w:t>Other</w:t>
            </w:r>
          </w:p>
        </w:tc>
        <w:tc>
          <w:tcPr>
            <w:tcW w:w="1747" w:type="dxa"/>
            <w:tcBorders>
              <w:top w:val="single" w:sz="4" w:space="0" w:color="1F497D" w:themeColor="text2"/>
              <w:left w:val="nil"/>
              <w:bottom w:val="nil"/>
              <w:right w:val="nil"/>
            </w:tcBorders>
            <w:vAlign w:val="center"/>
          </w:tcPr>
          <w:p w:rsidR="00F360BB" w:rsidRPr="00F360BB" w:rsidRDefault="00F360BB" w:rsidP="00F360BB">
            <w:pPr>
              <w:jc w:val="center"/>
              <w:rPr>
                <w:rFonts w:asciiTheme="minorHAnsi" w:hAnsiTheme="minorHAnsi" w:cstheme="minorHAnsi"/>
                <w:szCs w:val="22"/>
              </w:rPr>
            </w:pPr>
            <w:r w:rsidRPr="00F360BB">
              <w:rPr>
                <w:rFonts w:asciiTheme="minorHAnsi" w:hAnsiTheme="minorHAnsi" w:cstheme="minorHAnsi"/>
                <w:szCs w:val="22"/>
              </w:rPr>
              <w:t>-</w:t>
            </w:r>
          </w:p>
        </w:tc>
        <w:tc>
          <w:tcPr>
            <w:tcW w:w="1745" w:type="dxa"/>
            <w:tcBorders>
              <w:top w:val="single" w:sz="4" w:space="0" w:color="1F497D" w:themeColor="text2"/>
              <w:left w:val="nil"/>
              <w:bottom w:val="nil"/>
              <w:right w:val="nil"/>
            </w:tcBorders>
            <w:vAlign w:val="center"/>
          </w:tcPr>
          <w:p w:rsidR="00F360BB" w:rsidRPr="00F360BB" w:rsidRDefault="00F360BB" w:rsidP="00F360BB">
            <w:pPr>
              <w:jc w:val="center"/>
              <w:rPr>
                <w:rFonts w:asciiTheme="minorHAnsi" w:hAnsiTheme="minorHAnsi" w:cstheme="minorHAnsi"/>
                <w:szCs w:val="22"/>
              </w:rPr>
            </w:pPr>
            <w:r w:rsidRPr="00F360BB">
              <w:rPr>
                <w:rFonts w:asciiTheme="minorHAnsi" w:hAnsiTheme="minorHAnsi" w:cstheme="minorHAnsi"/>
                <w:szCs w:val="22"/>
              </w:rPr>
              <w:t>-0.3</w:t>
            </w:r>
          </w:p>
        </w:tc>
        <w:tc>
          <w:tcPr>
            <w:tcW w:w="1741" w:type="dxa"/>
            <w:tcBorders>
              <w:top w:val="single" w:sz="4" w:space="0" w:color="1F497D" w:themeColor="text2"/>
              <w:left w:val="nil"/>
              <w:bottom w:val="nil"/>
              <w:right w:val="nil"/>
            </w:tcBorders>
            <w:vAlign w:val="center"/>
          </w:tcPr>
          <w:p w:rsidR="00F360BB" w:rsidRPr="00F360BB" w:rsidRDefault="00F360BB" w:rsidP="00F360BB">
            <w:pPr>
              <w:jc w:val="center"/>
              <w:rPr>
                <w:rFonts w:asciiTheme="minorHAnsi" w:hAnsiTheme="minorHAnsi" w:cstheme="minorHAnsi"/>
                <w:szCs w:val="22"/>
              </w:rPr>
            </w:pPr>
            <w:r w:rsidRPr="00F360BB">
              <w:rPr>
                <w:rFonts w:asciiTheme="minorHAnsi" w:hAnsiTheme="minorHAnsi" w:cstheme="minorHAnsi"/>
                <w:szCs w:val="22"/>
              </w:rPr>
              <w:t>-</w:t>
            </w:r>
          </w:p>
        </w:tc>
        <w:tc>
          <w:tcPr>
            <w:tcW w:w="1745" w:type="dxa"/>
            <w:tcBorders>
              <w:top w:val="single" w:sz="4" w:space="0" w:color="1F497D" w:themeColor="text2"/>
              <w:left w:val="nil"/>
              <w:bottom w:val="nil"/>
              <w:right w:val="nil"/>
            </w:tcBorders>
            <w:vAlign w:val="center"/>
          </w:tcPr>
          <w:p w:rsidR="00F360BB" w:rsidRPr="00F360BB" w:rsidRDefault="00F360BB" w:rsidP="00F360BB">
            <w:pPr>
              <w:jc w:val="center"/>
              <w:rPr>
                <w:rFonts w:asciiTheme="minorHAnsi" w:hAnsiTheme="minorHAnsi" w:cstheme="minorHAnsi"/>
                <w:szCs w:val="22"/>
              </w:rPr>
            </w:pPr>
            <w:r w:rsidRPr="00F360BB">
              <w:rPr>
                <w:rFonts w:asciiTheme="minorHAnsi" w:hAnsiTheme="minorHAnsi" w:cstheme="minorHAnsi"/>
                <w:szCs w:val="22"/>
              </w:rPr>
              <w:t>0.1</w:t>
            </w:r>
          </w:p>
        </w:tc>
      </w:tr>
    </w:tbl>
    <w:p w:rsidR="00AA79CF" w:rsidRDefault="00AA79CF" w:rsidP="00AA79CF"/>
    <w:p w:rsidR="002F28A5" w:rsidRDefault="002F28A5">
      <w:pPr>
        <w:rPr>
          <w:rFonts w:cstheme="minorHAnsi"/>
          <w:b/>
          <w:color w:val="000000"/>
        </w:rPr>
      </w:pPr>
      <w:r>
        <w:rPr>
          <w:rFonts w:cstheme="minorHAnsi"/>
          <w:b/>
          <w:color w:val="000000"/>
        </w:rPr>
        <w:br w:type="page"/>
      </w:r>
    </w:p>
    <w:p w:rsidR="00D00633" w:rsidRPr="005A4BE6" w:rsidRDefault="00D00633" w:rsidP="00D00633">
      <w:pPr>
        <w:widowControl w:val="0"/>
        <w:autoSpaceDE w:val="0"/>
        <w:autoSpaceDN w:val="0"/>
        <w:adjustRightInd w:val="0"/>
        <w:spacing w:line="360" w:lineRule="auto"/>
        <w:jc w:val="center"/>
        <w:rPr>
          <w:rFonts w:cstheme="minorHAnsi"/>
          <w:b/>
          <w:color w:val="000000"/>
        </w:rPr>
      </w:pPr>
      <w:r>
        <w:rPr>
          <w:rFonts w:cstheme="minorHAnsi"/>
          <w:b/>
          <w:color w:val="000000"/>
        </w:rPr>
        <w:t xml:space="preserve">Change in Annual </w:t>
      </w:r>
      <w:r w:rsidR="007922B0">
        <w:rPr>
          <w:rFonts w:cstheme="minorHAnsi"/>
          <w:b/>
          <w:color w:val="000000"/>
        </w:rPr>
        <w:t xml:space="preserve">Generation (Low Gas Price Case, in </w:t>
      </w:r>
      <w:proofErr w:type="spellStart"/>
      <w:r w:rsidR="007922B0">
        <w:rPr>
          <w:rFonts w:cstheme="minorHAnsi"/>
          <w:b/>
          <w:color w:val="000000"/>
        </w:rPr>
        <w:t>GWh</w:t>
      </w:r>
      <w:proofErr w:type="spellEnd"/>
      <w:r>
        <w:rPr>
          <w:rFonts w:cstheme="minorHAnsi"/>
          <w:b/>
          <w:color w:val="000000"/>
        </w:rPr>
        <w:t>)</w:t>
      </w:r>
    </w:p>
    <w:tbl>
      <w:tblPr>
        <w:tblStyle w:val="TableGrid"/>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372"/>
        <w:gridCol w:w="1747"/>
        <w:gridCol w:w="1745"/>
        <w:gridCol w:w="1741"/>
        <w:gridCol w:w="1745"/>
      </w:tblGrid>
      <w:tr w:rsidR="007922B0" w:rsidRPr="00D00633" w:rsidTr="007922B0">
        <w:trPr>
          <w:trHeight w:val="576"/>
          <w:jc w:val="center"/>
        </w:trPr>
        <w:tc>
          <w:tcPr>
            <w:tcW w:w="2372" w:type="dxa"/>
            <w:tcBorders>
              <w:top w:val="single" w:sz="4" w:space="0" w:color="1F497D" w:themeColor="text2"/>
              <w:left w:val="single" w:sz="4" w:space="0" w:color="1F497D" w:themeColor="text2"/>
              <w:bottom w:val="nil"/>
              <w:right w:val="nil"/>
            </w:tcBorders>
            <w:shd w:val="solid" w:color="003865" w:fill="auto"/>
            <w:vAlign w:val="center"/>
          </w:tcPr>
          <w:p w:rsidR="007922B0" w:rsidRPr="00BB2B40" w:rsidRDefault="007922B0" w:rsidP="007922B0">
            <w:pPr>
              <w:rPr>
                <w:rFonts w:asciiTheme="minorHAnsi" w:hAnsiTheme="minorHAnsi" w:cstheme="minorHAnsi"/>
                <w:b/>
                <w:szCs w:val="22"/>
              </w:rPr>
            </w:pPr>
          </w:p>
        </w:tc>
        <w:tc>
          <w:tcPr>
            <w:tcW w:w="1747" w:type="dxa"/>
            <w:tcBorders>
              <w:top w:val="single" w:sz="4" w:space="0" w:color="1F497D" w:themeColor="text2"/>
              <w:left w:val="nil"/>
              <w:bottom w:val="nil"/>
              <w:right w:val="nil"/>
            </w:tcBorders>
            <w:shd w:val="solid" w:color="003865" w:fill="auto"/>
            <w:vAlign w:val="center"/>
          </w:tcPr>
          <w:p w:rsidR="007922B0" w:rsidRPr="00BB2B40" w:rsidRDefault="007922B0" w:rsidP="00A636DB">
            <w:pPr>
              <w:jc w:val="center"/>
              <w:rPr>
                <w:rFonts w:asciiTheme="minorHAnsi" w:hAnsiTheme="minorHAnsi" w:cstheme="minorHAnsi"/>
                <w:b/>
                <w:szCs w:val="22"/>
              </w:rPr>
            </w:pPr>
            <w:r>
              <w:rPr>
                <w:rFonts w:asciiTheme="minorHAnsi" w:hAnsiTheme="minorHAnsi" w:cstheme="minorHAnsi"/>
                <w:b/>
                <w:szCs w:val="22"/>
              </w:rPr>
              <w:t>Houston Zone</w:t>
            </w:r>
          </w:p>
        </w:tc>
        <w:tc>
          <w:tcPr>
            <w:tcW w:w="1745" w:type="dxa"/>
            <w:tcBorders>
              <w:top w:val="single" w:sz="4" w:space="0" w:color="1F497D" w:themeColor="text2"/>
              <w:left w:val="nil"/>
              <w:bottom w:val="nil"/>
              <w:right w:val="nil"/>
            </w:tcBorders>
            <w:shd w:val="solid" w:color="003865" w:fill="auto"/>
            <w:vAlign w:val="center"/>
          </w:tcPr>
          <w:p w:rsidR="007922B0" w:rsidRPr="00BB2B40" w:rsidRDefault="007922B0" w:rsidP="00A636DB">
            <w:pPr>
              <w:jc w:val="center"/>
              <w:rPr>
                <w:rFonts w:asciiTheme="minorHAnsi" w:hAnsiTheme="minorHAnsi" w:cstheme="minorHAnsi"/>
                <w:b/>
                <w:szCs w:val="22"/>
              </w:rPr>
            </w:pPr>
            <w:r>
              <w:rPr>
                <w:rFonts w:asciiTheme="minorHAnsi" w:hAnsiTheme="minorHAnsi" w:cstheme="minorHAnsi"/>
                <w:b/>
                <w:szCs w:val="22"/>
              </w:rPr>
              <w:t>North Zone</w:t>
            </w:r>
          </w:p>
        </w:tc>
        <w:tc>
          <w:tcPr>
            <w:tcW w:w="1741" w:type="dxa"/>
            <w:tcBorders>
              <w:top w:val="single" w:sz="4" w:space="0" w:color="1F497D" w:themeColor="text2"/>
              <w:left w:val="nil"/>
              <w:bottom w:val="nil"/>
              <w:right w:val="nil"/>
            </w:tcBorders>
            <w:shd w:val="solid" w:color="003865" w:fill="auto"/>
            <w:vAlign w:val="center"/>
          </w:tcPr>
          <w:p w:rsidR="007922B0" w:rsidRPr="007922B0" w:rsidRDefault="007922B0" w:rsidP="00A636DB">
            <w:pPr>
              <w:jc w:val="center"/>
              <w:rPr>
                <w:rFonts w:asciiTheme="minorHAnsi" w:hAnsiTheme="minorHAnsi" w:cstheme="minorHAnsi"/>
                <w:b/>
                <w:szCs w:val="22"/>
              </w:rPr>
            </w:pPr>
            <w:r>
              <w:rPr>
                <w:rFonts w:asciiTheme="minorHAnsi" w:hAnsiTheme="minorHAnsi" w:cstheme="minorHAnsi"/>
                <w:b/>
                <w:szCs w:val="22"/>
              </w:rPr>
              <w:t>South Zone</w:t>
            </w:r>
          </w:p>
        </w:tc>
        <w:tc>
          <w:tcPr>
            <w:tcW w:w="1745" w:type="dxa"/>
            <w:tcBorders>
              <w:top w:val="single" w:sz="4" w:space="0" w:color="1F497D" w:themeColor="text2"/>
              <w:left w:val="nil"/>
              <w:bottom w:val="nil"/>
              <w:right w:val="single" w:sz="4" w:space="0" w:color="1F497D" w:themeColor="text2"/>
            </w:tcBorders>
            <w:shd w:val="solid" w:color="003865" w:fill="auto"/>
            <w:vAlign w:val="center"/>
          </w:tcPr>
          <w:p w:rsidR="007922B0" w:rsidRPr="00BB2B40" w:rsidRDefault="007922B0" w:rsidP="00A636DB">
            <w:pPr>
              <w:jc w:val="center"/>
              <w:rPr>
                <w:rFonts w:asciiTheme="minorHAnsi" w:hAnsiTheme="minorHAnsi" w:cstheme="minorHAnsi"/>
                <w:b/>
                <w:szCs w:val="22"/>
              </w:rPr>
            </w:pPr>
            <w:r>
              <w:rPr>
                <w:rFonts w:asciiTheme="minorHAnsi" w:hAnsiTheme="minorHAnsi" w:cstheme="minorHAnsi"/>
                <w:b/>
                <w:szCs w:val="22"/>
              </w:rPr>
              <w:t>West Zone</w:t>
            </w:r>
          </w:p>
        </w:tc>
      </w:tr>
      <w:tr w:rsidR="00F360BB" w:rsidRPr="000A4D5C" w:rsidTr="007922B0">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Combined-cycle greater than 90 MW</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2,657</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-3,494</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74</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-878</w:t>
            </w:r>
          </w:p>
        </w:tc>
      </w:tr>
      <w:tr w:rsidR="00F360BB" w:rsidRPr="000A4D5C" w:rsidTr="007922B0">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Combined-cycle less than or equal to 90 MW</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636</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256</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-252</w:t>
            </w:r>
          </w:p>
        </w:tc>
      </w:tr>
      <w:tr w:rsidR="00F360BB" w:rsidRPr="000A4D5C" w:rsidTr="007922B0">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Coal and lignite</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363</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-1,612</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-15</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-83</w:t>
            </w:r>
          </w:p>
        </w:tc>
      </w:tr>
      <w:tr w:rsidR="00F360BB" w:rsidRPr="000A4D5C" w:rsidTr="007922B0">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Reciprocating engines</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-51</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-67</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r>
      <w:tr w:rsidR="00F360BB" w:rsidRPr="000A4D5C" w:rsidTr="007922B0">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Gas steam non-reheat or boiler without air-preheater</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0</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r>
      <w:tr w:rsidR="00F360BB" w:rsidRPr="000A4D5C" w:rsidTr="007922B0">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Gas steam reheat boiler</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334</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-561</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426</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-149</w:t>
            </w:r>
          </w:p>
        </w:tc>
      </w:tr>
      <w:tr w:rsidR="00F360BB" w:rsidRPr="000A4D5C" w:rsidTr="007922B0">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Gas steam supercritical boiler</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1,014</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r>
      <w:tr w:rsidR="00F360BB" w:rsidRPr="000A4D5C" w:rsidTr="007922B0">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Hydro</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r>
      <w:tr w:rsidR="00F360BB" w:rsidRPr="000A4D5C" w:rsidTr="007922B0">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Nuclear</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sidRPr="007922B0">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sidRPr="007922B0">
              <w:rPr>
                <w:rFonts w:asciiTheme="minorHAnsi" w:hAnsiTheme="minorHAnsi" w:cstheme="minorHAnsi"/>
                <w:szCs w:val="22"/>
              </w:rPr>
              <w:t>-1</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sidRPr="007922B0">
              <w:rPr>
                <w:rFonts w:asciiTheme="minorHAnsi" w:hAnsiTheme="minorHAnsi" w:cstheme="minorHAnsi"/>
                <w:szCs w:val="22"/>
              </w:rPr>
              <w:t>265</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sidRPr="007922B0">
              <w:rPr>
                <w:rFonts w:asciiTheme="minorHAnsi" w:hAnsiTheme="minorHAnsi" w:cstheme="minorHAnsi"/>
                <w:szCs w:val="22"/>
              </w:rPr>
              <w:t>-</w:t>
            </w:r>
          </w:p>
        </w:tc>
      </w:tr>
      <w:tr w:rsidR="00F360BB" w:rsidRPr="000A4D5C" w:rsidTr="007922B0">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Simple-cycle greater than 90 MW</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142</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-348</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345</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-28</w:t>
            </w:r>
          </w:p>
        </w:tc>
      </w:tr>
      <w:tr w:rsidR="00F360BB" w:rsidRPr="000A4D5C" w:rsidTr="007922B0">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Simple-cycle less than or equal to 90 MW</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80</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-2</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-29</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w:t>
            </w:r>
          </w:p>
        </w:tc>
      </w:tr>
      <w:tr w:rsidR="00F360BB" w:rsidRPr="000A4D5C" w:rsidTr="00A636D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rPr>
                <w:rFonts w:asciiTheme="minorHAnsi" w:hAnsiTheme="minorHAnsi" w:cstheme="minorHAnsi"/>
                <w:szCs w:val="22"/>
              </w:rPr>
            </w:pPr>
            <w:proofErr w:type="spellStart"/>
            <w:r w:rsidRPr="00F360BB">
              <w:rPr>
                <w:rFonts w:asciiTheme="minorHAnsi" w:hAnsiTheme="minorHAnsi" w:cstheme="minorHAnsi"/>
                <w:sz w:val="18"/>
                <w:szCs w:val="22"/>
              </w:rPr>
              <w:t>PhotoVoltaic</w:t>
            </w:r>
            <w:proofErr w:type="spellEnd"/>
            <w:r w:rsidRPr="00F360BB">
              <w:rPr>
                <w:rFonts w:asciiTheme="minorHAnsi" w:hAnsiTheme="minorHAnsi" w:cstheme="minorHAnsi"/>
                <w:sz w:val="18"/>
                <w:szCs w:val="22"/>
              </w:rPr>
              <w:t xml:space="preserve"> Generation Resources </w:t>
            </w:r>
          </w:p>
        </w:tc>
        <w:tc>
          <w:tcPr>
            <w:tcW w:w="1747"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F360BB" w:rsidRDefault="00F360BB" w:rsidP="00F360BB">
            <w:pPr>
              <w:jc w:val="center"/>
              <w:rPr>
                <w:rFonts w:cstheme="minorHAnsi"/>
              </w:rPr>
            </w:pPr>
            <w:r>
              <w:rPr>
                <w:rFonts w:asciiTheme="minorHAnsi" w:hAnsiTheme="minorHAnsi" w:cstheme="minorHAnsi"/>
                <w:szCs w:val="22"/>
              </w:rPr>
              <w:t>0</w:t>
            </w:r>
          </w:p>
        </w:tc>
        <w:tc>
          <w:tcPr>
            <w:tcW w:w="1745"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7</w:t>
            </w:r>
          </w:p>
        </w:tc>
      </w:tr>
      <w:tr w:rsidR="00F360BB" w:rsidRPr="000A4D5C" w:rsidTr="00F360B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rPr>
                <w:rFonts w:asciiTheme="minorHAnsi" w:hAnsiTheme="minorHAnsi" w:cstheme="minorHAnsi"/>
                <w:szCs w:val="22"/>
              </w:rPr>
            </w:pPr>
            <w:r w:rsidRPr="00F360BB">
              <w:rPr>
                <w:rFonts w:asciiTheme="minorHAnsi" w:hAnsiTheme="minorHAnsi" w:cstheme="minorHAnsi"/>
                <w:sz w:val="18"/>
                <w:szCs w:val="22"/>
              </w:rPr>
              <w:t>Wind generation Resources</w:t>
            </w:r>
          </w:p>
        </w:tc>
        <w:tc>
          <w:tcPr>
            <w:tcW w:w="1747"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3</w:t>
            </w:r>
          </w:p>
        </w:tc>
        <w:tc>
          <w:tcPr>
            <w:tcW w:w="1741" w:type="dxa"/>
            <w:tcBorders>
              <w:top w:val="single" w:sz="4" w:space="0" w:color="1F497D" w:themeColor="text2"/>
              <w:left w:val="nil"/>
              <w:bottom w:val="single" w:sz="4" w:space="0" w:color="1F497D" w:themeColor="text2"/>
              <w:right w:val="nil"/>
            </w:tcBorders>
            <w:vAlign w:val="center"/>
          </w:tcPr>
          <w:p w:rsidR="00F360BB" w:rsidRDefault="00F360BB" w:rsidP="00F360BB">
            <w:pPr>
              <w:jc w:val="center"/>
              <w:rPr>
                <w:rFonts w:cstheme="minorHAnsi"/>
              </w:rPr>
            </w:pPr>
            <w:r>
              <w:rPr>
                <w:rFonts w:asciiTheme="minorHAnsi" w:hAnsiTheme="minorHAnsi" w:cstheme="minorHAnsi"/>
                <w:szCs w:val="22"/>
              </w:rPr>
              <w:t>209</w:t>
            </w:r>
          </w:p>
        </w:tc>
        <w:tc>
          <w:tcPr>
            <w:tcW w:w="1745"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16</w:t>
            </w:r>
          </w:p>
        </w:tc>
      </w:tr>
      <w:tr w:rsidR="00F360BB" w:rsidRPr="000A4D5C" w:rsidTr="00A636DB">
        <w:trPr>
          <w:trHeight w:val="576"/>
          <w:jc w:val="center"/>
        </w:trPr>
        <w:tc>
          <w:tcPr>
            <w:tcW w:w="2372" w:type="dxa"/>
            <w:tcBorders>
              <w:top w:val="single" w:sz="4" w:space="0" w:color="1F497D" w:themeColor="text2"/>
              <w:left w:val="nil"/>
              <w:bottom w:val="nil"/>
              <w:right w:val="nil"/>
            </w:tcBorders>
            <w:vAlign w:val="center"/>
          </w:tcPr>
          <w:p w:rsidR="00F360BB" w:rsidRDefault="00F360BB" w:rsidP="00F360BB">
            <w:pPr>
              <w:rPr>
                <w:rFonts w:cstheme="minorHAnsi"/>
              </w:rPr>
            </w:pPr>
            <w:r w:rsidRPr="00F360BB">
              <w:rPr>
                <w:rFonts w:asciiTheme="minorHAnsi" w:hAnsiTheme="minorHAnsi" w:cstheme="minorHAnsi"/>
                <w:sz w:val="18"/>
                <w:szCs w:val="22"/>
              </w:rPr>
              <w:t>Other</w:t>
            </w:r>
          </w:p>
        </w:tc>
        <w:tc>
          <w:tcPr>
            <w:tcW w:w="1747" w:type="dxa"/>
            <w:tcBorders>
              <w:top w:val="single" w:sz="4" w:space="0" w:color="1F497D" w:themeColor="text2"/>
              <w:left w:val="nil"/>
              <w:bottom w:val="nil"/>
              <w:right w:val="nil"/>
            </w:tcBorders>
            <w:vAlign w:val="center"/>
          </w:tcPr>
          <w:p w:rsidR="00F360BB" w:rsidRDefault="00F360BB" w:rsidP="00F360BB">
            <w:pPr>
              <w:jc w:val="center"/>
              <w:rPr>
                <w:rFonts w:cstheme="minorHAnsi"/>
              </w:rPr>
            </w:pPr>
            <w:r>
              <w:rPr>
                <w:rFonts w:asciiTheme="minorHAnsi" w:hAnsiTheme="minorHAnsi" w:cstheme="minorHAnsi"/>
                <w:szCs w:val="22"/>
              </w:rPr>
              <w:t>-</w:t>
            </w:r>
          </w:p>
        </w:tc>
        <w:tc>
          <w:tcPr>
            <w:tcW w:w="1745" w:type="dxa"/>
            <w:tcBorders>
              <w:top w:val="single" w:sz="4" w:space="0" w:color="1F497D" w:themeColor="text2"/>
              <w:left w:val="nil"/>
              <w:bottom w:val="nil"/>
              <w:right w:val="nil"/>
            </w:tcBorders>
            <w:vAlign w:val="center"/>
          </w:tcPr>
          <w:p w:rsidR="00F360BB" w:rsidRDefault="00F360BB" w:rsidP="00F360BB">
            <w:pPr>
              <w:jc w:val="center"/>
              <w:rPr>
                <w:rFonts w:cstheme="minorHAnsi"/>
              </w:rPr>
            </w:pPr>
            <w:r>
              <w:rPr>
                <w:rFonts w:asciiTheme="minorHAnsi" w:hAnsiTheme="minorHAnsi" w:cstheme="minorHAnsi"/>
                <w:szCs w:val="22"/>
              </w:rPr>
              <w:t>-11</w:t>
            </w:r>
          </w:p>
        </w:tc>
        <w:tc>
          <w:tcPr>
            <w:tcW w:w="1741" w:type="dxa"/>
            <w:tcBorders>
              <w:top w:val="single" w:sz="4" w:space="0" w:color="1F497D" w:themeColor="text2"/>
              <w:left w:val="nil"/>
              <w:bottom w:val="nil"/>
              <w:right w:val="nil"/>
            </w:tcBorders>
            <w:vAlign w:val="center"/>
          </w:tcPr>
          <w:p w:rsidR="00F360BB" w:rsidRDefault="00F360BB" w:rsidP="00F360BB">
            <w:pPr>
              <w:jc w:val="center"/>
              <w:rPr>
                <w:rFonts w:cstheme="minorHAnsi"/>
              </w:rPr>
            </w:pPr>
            <w:r>
              <w:rPr>
                <w:rFonts w:asciiTheme="minorHAnsi" w:hAnsiTheme="minorHAnsi" w:cstheme="minorHAnsi"/>
                <w:szCs w:val="22"/>
              </w:rPr>
              <w:t>-</w:t>
            </w:r>
          </w:p>
        </w:tc>
        <w:tc>
          <w:tcPr>
            <w:tcW w:w="1745" w:type="dxa"/>
            <w:tcBorders>
              <w:top w:val="single" w:sz="4" w:space="0" w:color="1F497D" w:themeColor="text2"/>
              <w:left w:val="nil"/>
              <w:bottom w:val="nil"/>
              <w:right w:val="nil"/>
            </w:tcBorders>
            <w:vAlign w:val="center"/>
          </w:tcPr>
          <w:p w:rsidR="00F360BB" w:rsidRDefault="00F360BB" w:rsidP="00F360BB">
            <w:pPr>
              <w:jc w:val="center"/>
              <w:rPr>
                <w:rFonts w:cstheme="minorHAnsi"/>
              </w:rPr>
            </w:pPr>
            <w:r>
              <w:rPr>
                <w:rFonts w:asciiTheme="minorHAnsi" w:hAnsiTheme="minorHAnsi" w:cstheme="minorHAnsi"/>
                <w:szCs w:val="22"/>
              </w:rPr>
              <w:t>3</w:t>
            </w:r>
          </w:p>
        </w:tc>
      </w:tr>
    </w:tbl>
    <w:p w:rsidR="00EE54A1" w:rsidRDefault="00EE54A1" w:rsidP="00FC3784"/>
    <w:p w:rsidR="00F360BB" w:rsidRDefault="00F360BB">
      <w:pPr>
        <w:rPr>
          <w:rFonts w:cstheme="minorHAnsi"/>
          <w:b/>
          <w:color w:val="000000"/>
        </w:rPr>
      </w:pPr>
      <w:r>
        <w:rPr>
          <w:rFonts w:cstheme="minorHAnsi"/>
          <w:b/>
          <w:color w:val="000000"/>
        </w:rPr>
        <w:br w:type="page"/>
      </w:r>
    </w:p>
    <w:p w:rsidR="00A636DB" w:rsidRPr="005A4BE6" w:rsidRDefault="00A636DB" w:rsidP="00A636DB">
      <w:pPr>
        <w:widowControl w:val="0"/>
        <w:autoSpaceDE w:val="0"/>
        <w:autoSpaceDN w:val="0"/>
        <w:adjustRightInd w:val="0"/>
        <w:spacing w:line="360" w:lineRule="auto"/>
        <w:jc w:val="center"/>
        <w:rPr>
          <w:rFonts w:cstheme="minorHAnsi"/>
          <w:b/>
          <w:color w:val="000000"/>
        </w:rPr>
      </w:pPr>
      <w:r>
        <w:rPr>
          <w:rFonts w:cstheme="minorHAnsi"/>
          <w:b/>
          <w:color w:val="000000"/>
        </w:rPr>
        <w:t xml:space="preserve">Change in </w:t>
      </w:r>
      <w:r w:rsidR="00220D12">
        <w:rPr>
          <w:rFonts w:cstheme="minorHAnsi"/>
          <w:b/>
          <w:color w:val="000000"/>
        </w:rPr>
        <w:t xml:space="preserve">Annual Generator Revenue </w:t>
      </w:r>
      <w:r>
        <w:rPr>
          <w:rFonts w:cstheme="minorHAnsi"/>
          <w:b/>
          <w:color w:val="000000"/>
        </w:rPr>
        <w:t xml:space="preserve">(Base Case, in </w:t>
      </w:r>
      <w:r w:rsidR="00220D12">
        <w:rPr>
          <w:rFonts w:cstheme="minorHAnsi"/>
          <w:b/>
          <w:color w:val="000000"/>
        </w:rPr>
        <w:t>$M</w:t>
      </w:r>
      <w:r>
        <w:rPr>
          <w:rFonts w:cstheme="minorHAnsi"/>
          <w:b/>
          <w:color w:val="000000"/>
        </w:rPr>
        <w:t>)</w:t>
      </w:r>
    </w:p>
    <w:tbl>
      <w:tblPr>
        <w:tblStyle w:val="TableGrid"/>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372"/>
        <w:gridCol w:w="1747"/>
        <w:gridCol w:w="1745"/>
        <w:gridCol w:w="1741"/>
        <w:gridCol w:w="1745"/>
      </w:tblGrid>
      <w:tr w:rsidR="00A636DB" w:rsidRPr="00D00633" w:rsidTr="00AA688E">
        <w:trPr>
          <w:trHeight w:val="576"/>
          <w:jc w:val="center"/>
        </w:trPr>
        <w:tc>
          <w:tcPr>
            <w:tcW w:w="2372" w:type="dxa"/>
            <w:tcBorders>
              <w:top w:val="single" w:sz="4" w:space="0" w:color="1F497D" w:themeColor="text2"/>
              <w:left w:val="single" w:sz="4" w:space="0" w:color="1F497D" w:themeColor="text2"/>
              <w:bottom w:val="nil"/>
              <w:right w:val="nil"/>
            </w:tcBorders>
            <w:shd w:val="solid" w:color="003865" w:fill="auto"/>
            <w:vAlign w:val="center"/>
          </w:tcPr>
          <w:p w:rsidR="00A636DB" w:rsidRPr="00BB2B40" w:rsidRDefault="00A636DB" w:rsidP="00AA688E">
            <w:pPr>
              <w:rPr>
                <w:rFonts w:asciiTheme="minorHAnsi" w:hAnsiTheme="minorHAnsi" w:cstheme="minorHAnsi"/>
                <w:b/>
                <w:szCs w:val="22"/>
              </w:rPr>
            </w:pPr>
          </w:p>
        </w:tc>
        <w:tc>
          <w:tcPr>
            <w:tcW w:w="1747" w:type="dxa"/>
            <w:tcBorders>
              <w:top w:val="single" w:sz="4" w:space="0" w:color="1F497D" w:themeColor="text2"/>
              <w:left w:val="nil"/>
              <w:bottom w:val="nil"/>
              <w:right w:val="nil"/>
            </w:tcBorders>
            <w:shd w:val="solid" w:color="003865" w:fill="auto"/>
            <w:vAlign w:val="center"/>
          </w:tcPr>
          <w:p w:rsidR="00A636DB" w:rsidRPr="00BB2B40" w:rsidRDefault="00A636DB" w:rsidP="00AA688E">
            <w:pPr>
              <w:jc w:val="center"/>
              <w:rPr>
                <w:rFonts w:asciiTheme="minorHAnsi" w:hAnsiTheme="minorHAnsi" w:cstheme="minorHAnsi"/>
                <w:b/>
                <w:szCs w:val="22"/>
              </w:rPr>
            </w:pPr>
            <w:r>
              <w:rPr>
                <w:rFonts w:asciiTheme="minorHAnsi" w:hAnsiTheme="minorHAnsi" w:cstheme="minorHAnsi"/>
                <w:b/>
                <w:szCs w:val="22"/>
              </w:rPr>
              <w:t>Houston Zone</w:t>
            </w:r>
          </w:p>
        </w:tc>
        <w:tc>
          <w:tcPr>
            <w:tcW w:w="1745" w:type="dxa"/>
            <w:tcBorders>
              <w:top w:val="single" w:sz="4" w:space="0" w:color="1F497D" w:themeColor="text2"/>
              <w:left w:val="nil"/>
              <w:bottom w:val="nil"/>
              <w:right w:val="nil"/>
            </w:tcBorders>
            <w:shd w:val="solid" w:color="003865" w:fill="auto"/>
            <w:vAlign w:val="center"/>
          </w:tcPr>
          <w:p w:rsidR="00A636DB" w:rsidRPr="00BB2B40" w:rsidRDefault="00A636DB" w:rsidP="00AA688E">
            <w:pPr>
              <w:jc w:val="center"/>
              <w:rPr>
                <w:rFonts w:asciiTheme="minorHAnsi" w:hAnsiTheme="minorHAnsi" w:cstheme="minorHAnsi"/>
                <w:b/>
                <w:szCs w:val="22"/>
              </w:rPr>
            </w:pPr>
            <w:r>
              <w:rPr>
                <w:rFonts w:asciiTheme="minorHAnsi" w:hAnsiTheme="minorHAnsi" w:cstheme="minorHAnsi"/>
                <w:b/>
                <w:szCs w:val="22"/>
              </w:rPr>
              <w:t>North Zone</w:t>
            </w:r>
          </w:p>
        </w:tc>
        <w:tc>
          <w:tcPr>
            <w:tcW w:w="1741" w:type="dxa"/>
            <w:tcBorders>
              <w:top w:val="single" w:sz="4" w:space="0" w:color="1F497D" w:themeColor="text2"/>
              <w:left w:val="nil"/>
              <w:bottom w:val="nil"/>
              <w:right w:val="nil"/>
            </w:tcBorders>
            <w:shd w:val="solid" w:color="003865" w:fill="auto"/>
            <w:vAlign w:val="center"/>
          </w:tcPr>
          <w:p w:rsidR="00A636DB" w:rsidRPr="007922B0" w:rsidRDefault="00A636DB" w:rsidP="00AA688E">
            <w:pPr>
              <w:jc w:val="center"/>
              <w:rPr>
                <w:rFonts w:asciiTheme="minorHAnsi" w:hAnsiTheme="minorHAnsi" w:cstheme="minorHAnsi"/>
                <w:b/>
                <w:szCs w:val="22"/>
              </w:rPr>
            </w:pPr>
            <w:r>
              <w:rPr>
                <w:rFonts w:asciiTheme="minorHAnsi" w:hAnsiTheme="minorHAnsi" w:cstheme="minorHAnsi"/>
                <w:b/>
                <w:szCs w:val="22"/>
              </w:rPr>
              <w:t>South Zone</w:t>
            </w:r>
          </w:p>
        </w:tc>
        <w:tc>
          <w:tcPr>
            <w:tcW w:w="1745" w:type="dxa"/>
            <w:tcBorders>
              <w:top w:val="single" w:sz="4" w:space="0" w:color="1F497D" w:themeColor="text2"/>
              <w:left w:val="nil"/>
              <w:bottom w:val="nil"/>
              <w:right w:val="single" w:sz="4" w:space="0" w:color="1F497D" w:themeColor="text2"/>
            </w:tcBorders>
            <w:shd w:val="solid" w:color="003865" w:fill="auto"/>
            <w:vAlign w:val="center"/>
          </w:tcPr>
          <w:p w:rsidR="00A636DB" w:rsidRPr="00BB2B40" w:rsidRDefault="00A636DB" w:rsidP="00AA688E">
            <w:pPr>
              <w:jc w:val="center"/>
              <w:rPr>
                <w:rFonts w:asciiTheme="minorHAnsi" w:hAnsiTheme="minorHAnsi" w:cstheme="minorHAnsi"/>
                <w:b/>
                <w:szCs w:val="22"/>
              </w:rPr>
            </w:pPr>
            <w:r>
              <w:rPr>
                <w:rFonts w:asciiTheme="minorHAnsi" w:hAnsiTheme="minorHAnsi" w:cstheme="minorHAnsi"/>
                <w:b/>
                <w:szCs w:val="22"/>
              </w:rPr>
              <w:t>West Zone</w:t>
            </w:r>
          </w:p>
        </w:tc>
      </w:tr>
      <w:tr w:rsidR="00F360BB" w:rsidRPr="000A4D5C" w:rsidTr="00AA688E">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Combined-cycle greater than 90 MW</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125.6</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-234.3</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5.5</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-26.5</w:t>
            </w:r>
          </w:p>
        </w:tc>
      </w:tr>
      <w:tr w:rsidR="00F360BB" w:rsidRPr="000A4D5C" w:rsidTr="00AA688E">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Combined-cycle less than or equal to 90 MW</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18.1</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24.7</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-5.4</w:t>
            </w:r>
          </w:p>
        </w:tc>
      </w:tr>
      <w:tr w:rsidR="00F360BB" w:rsidRPr="000A4D5C" w:rsidTr="00AA688E">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Coal and lignite</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55.9</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-55.0</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8.4</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-12.3</w:t>
            </w:r>
          </w:p>
        </w:tc>
      </w:tr>
      <w:tr w:rsidR="00F360BB" w:rsidRPr="000A4D5C" w:rsidTr="00AA688E">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Reciprocating engines</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-0.6</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-1.3</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r>
      <w:tr w:rsidR="00F360BB" w:rsidRPr="000A4D5C" w:rsidTr="00AA688E">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Gas steam non-reheat or boiler without air-preheater</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-1.6</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2.9</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-0.2</w:t>
            </w:r>
          </w:p>
        </w:tc>
      </w:tr>
      <w:tr w:rsidR="00F360BB" w:rsidRPr="000A4D5C" w:rsidTr="00AA688E">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Gas steam reheat boiler</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4.6</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-13.3</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4.7</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-1.6</w:t>
            </w:r>
          </w:p>
        </w:tc>
      </w:tr>
      <w:tr w:rsidR="00F360BB" w:rsidRPr="000A4D5C" w:rsidTr="00AA688E">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Gas steam supercritical boiler</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15.8</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r>
      <w:tr w:rsidR="00F360BB" w:rsidRPr="000A4D5C" w:rsidTr="00AA688E">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Hydro</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-0.2</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-0.1</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r>
      <w:tr w:rsidR="00F360BB" w:rsidRPr="000A4D5C" w:rsidTr="00AA688E">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Nuclear</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sidRPr="007922B0">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-14.4</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42.4</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sidRPr="007922B0">
              <w:rPr>
                <w:rFonts w:asciiTheme="minorHAnsi" w:hAnsiTheme="minorHAnsi" w:cstheme="minorHAnsi"/>
                <w:szCs w:val="22"/>
              </w:rPr>
              <w:t>-</w:t>
            </w:r>
          </w:p>
        </w:tc>
      </w:tr>
      <w:tr w:rsidR="00F360BB" w:rsidRPr="000A4D5C" w:rsidTr="00AA688E">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Simple-cycle greater than 90 MW</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-0.9</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-13.8</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15.9</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-0.9</w:t>
            </w:r>
          </w:p>
        </w:tc>
      </w:tr>
      <w:tr w:rsidR="00F360BB" w:rsidRPr="000A4D5C" w:rsidTr="00AA688E">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Simple-cycle less than or equal to 90 MW</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-1.3</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0.2</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-0.0</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-1.0</w:t>
            </w:r>
          </w:p>
        </w:tc>
      </w:tr>
      <w:tr w:rsidR="00F360BB" w:rsidRPr="000A4D5C" w:rsidTr="00AA688E">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rPr>
                <w:rFonts w:asciiTheme="minorHAnsi" w:hAnsiTheme="minorHAnsi" w:cstheme="minorHAnsi"/>
                <w:szCs w:val="22"/>
              </w:rPr>
            </w:pPr>
            <w:proofErr w:type="spellStart"/>
            <w:r w:rsidRPr="00F360BB">
              <w:rPr>
                <w:rFonts w:asciiTheme="minorHAnsi" w:hAnsiTheme="minorHAnsi" w:cstheme="minorHAnsi"/>
                <w:sz w:val="18"/>
                <w:szCs w:val="22"/>
              </w:rPr>
              <w:t>PhotoVoltaic</w:t>
            </w:r>
            <w:proofErr w:type="spellEnd"/>
            <w:r w:rsidRPr="00F360BB">
              <w:rPr>
                <w:rFonts w:asciiTheme="minorHAnsi" w:hAnsiTheme="minorHAnsi" w:cstheme="minorHAnsi"/>
                <w:sz w:val="18"/>
                <w:szCs w:val="22"/>
              </w:rPr>
              <w:t xml:space="preserve"> Generation Resources </w:t>
            </w:r>
          </w:p>
        </w:tc>
        <w:tc>
          <w:tcPr>
            <w:tcW w:w="1747"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-1.1</w:t>
            </w:r>
          </w:p>
        </w:tc>
        <w:tc>
          <w:tcPr>
            <w:tcW w:w="1741" w:type="dxa"/>
            <w:tcBorders>
              <w:top w:val="single" w:sz="4" w:space="0" w:color="1F497D" w:themeColor="text2"/>
              <w:left w:val="nil"/>
              <w:bottom w:val="single" w:sz="4" w:space="0" w:color="1F497D" w:themeColor="text2"/>
              <w:right w:val="nil"/>
            </w:tcBorders>
            <w:vAlign w:val="center"/>
          </w:tcPr>
          <w:p w:rsidR="00F360BB" w:rsidRDefault="00F360BB" w:rsidP="00F360BB">
            <w:pPr>
              <w:jc w:val="center"/>
              <w:rPr>
                <w:rFonts w:cstheme="minorHAnsi"/>
              </w:rPr>
            </w:pPr>
            <w:r>
              <w:rPr>
                <w:rFonts w:asciiTheme="minorHAnsi" w:hAnsiTheme="minorHAnsi" w:cstheme="minorHAnsi"/>
                <w:szCs w:val="22"/>
              </w:rPr>
              <w:t>-0.0</w:t>
            </w:r>
          </w:p>
        </w:tc>
        <w:tc>
          <w:tcPr>
            <w:tcW w:w="1745"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-14.0</w:t>
            </w:r>
          </w:p>
        </w:tc>
      </w:tr>
      <w:tr w:rsidR="00F360BB" w:rsidRPr="000A4D5C" w:rsidTr="00F360B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rPr>
                <w:rFonts w:asciiTheme="minorHAnsi" w:hAnsiTheme="minorHAnsi" w:cstheme="minorHAnsi"/>
                <w:szCs w:val="22"/>
              </w:rPr>
            </w:pPr>
            <w:r w:rsidRPr="00F360BB">
              <w:rPr>
                <w:rFonts w:asciiTheme="minorHAnsi" w:hAnsiTheme="minorHAnsi" w:cstheme="minorHAnsi"/>
                <w:sz w:val="18"/>
                <w:szCs w:val="22"/>
              </w:rPr>
              <w:t>Wind generation Resources</w:t>
            </w:r>
          </w:p>
        </w:tc>
        <w:tc>
          <w:tcPr>
            <w:tcW w:w="1747"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-2.6</w:t>
            </w:r>
          </w:p>
        </w:tc>
        <w:tc>
          <w:tcPr>
            <w:tcW w:w="1741" w:type="dxa"/>
            <w:tcBorders>
              <w:top w:val="single" w:sz="4" w:space="0" w:color="1F497D" w:themeColor="text2"/>
              <w:left w:val="nil"/>
              <w:bottom w:val="single" w:sz="4" w:space="0" w:color="1F497D" w:themeColor="text2"/>
              <w:right w:val="nil"/>
            </w:tcBorders>
            <w:vAlign w:val="center"/>
          </w:tcPr>
          <w:p w:rsidR="00F360BB" w:rsidRDefault="00F360BB" w:rsidP="00F360BB">
            <w:pPr>
              <w:jc w:val="center"/>
              <w:rPr>
                <w:rFonts w:cstheme="minorHAnsi"/>
              </w:rPr>
            </w:pPr>
            <w:r>
              <w:rPr>
                <w:rFonts w:asciiTheme="minorHAnsi" w:hAnsiTheme="minorHAnsi" w:cstheme="minorHAnsi"/>
                <w:szCs w:val="22"/>
              </w:rPr>
              <w:t>-13.4</w:t>
            </w:r>
          </w:p>
        </w:tc>
        <w:tc>
          <w:tcPr>
            <w:tcW w:w="1745"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-117.8</w:t>
            </w:r>
          </w:p>
        </w:tc>
      </w:tr>
      <w:tr w:rsidR="00F360BB" w:rsidRPr="00F360BB" w:rsidTr="00AA688E">
        <w:trPr>
          <w:trHeight w:val="576"/>
          <w:jc w:val="center"/>
        </w:trPr>
        <w:tc>
          <w:tcPr>
            <w:tcW w:w="2372" w:type="dxa"/>
            <w:tcBorders>
              <w:top w:val="single" w:sz="4" w:space="0" w:color="1F497D" w:themeColor="text2"/>
              <w:left w:val="nil"/>
              <w:bottom w:val="nil"/>
              <w:right w:val="nil"/>
            </w:tcBorders>
            <w:vAlign w:val="center"/>
          </w:tcPr>
          <w:p w:rsidR="00F360BB" w:rsidRPr="00F360BB" w:rsidRDefault="00F360BB" w:rsidP="00F360BB">
            <w:pPr>
              <w:rPr>
                <w:rFonts w:asciiTheme="minorHAnsi" w:hAnsiTheme="minorHAnsi" w:cstheme="minorHAnsi"/>
                <w:sz w:val="18"/>
                <w:szCs w:val="22"/>
              </w:rPr>
            </w:pPr>
            <w:r w:rsidRPr="00F360BB">
              <w:rPr>
                <w:rFonts w:asciiTheme="minorHAnsi" w:hAnsiTheme="minorHAnsi" w:cstheme="minorHAnsi"/>
                <w:sz w:val="18"/>
                <w:szCs w:val="22"/>
              </w:rPr>
              <w:t>Other</w:t>
            </w:r>
          </w:p>
        </w:tc>
        <w:tc>
          <w:tcPr>
            <w:tcW w:w="1747" w:type="dxa"/>
            <w:tcBorders>
              <w:top w:val="single" w:sz="4" w:space="0" w:color="1F497D" w:themeColor="text2"/>
              <w:left w:val="nil"/>
              <w:bottom w:val="nil"/>
              <w:right w:val="nil"/>
            </w:tcBorders>
            <w:vAlign w:val="center"/>
          </w:tcPr>
          <w:p w:rsidR="00F360BB" w:rsidRPr="00F360BB" w:rsidRDefault="00F360BB" w:rsidP="00F360BB">
            <w:pPr>
              <w:jc w:val="center"/>
              <w:rPr>
                <w:rFonts w:asciiTheme="minorHAnsi" w:hAnsiTheme="minorHAnsi" w:cstheme="minorHAnsi"/>
                <w:szCs w:val="22"/>
              </w:rPr>
            </w:pPr>
            <w:r w:rsidRPr="00F360BB">
              <w:rPr>
                <w:rFonts w:asciiTheme="minorHAnsi" w:hAnsiTheme="minorHAnsi" w:cstheme="minorHAnsi"/>
                <w:szCs w:val="22"/>
              </w:rPr>
              <w:t>-</w:t>
            </w:r>
          </w:p>
        </w:tc>
        <w:tc>
          <w:tcPr>
            <w:tcW w:w="1745" w:type="dxa"/>
            <w:tcBorders>
              <w:top w:val="single" w:sz="4" w:space="0" w:color="1F497D" w:themeColor="text2"/>
              <w:left w:val="nil"/>
              <w:bottom w:val="nil"/>
              <w:right w:val="nil"/>
            </w:tcBorders>
            <w:vAlign w:val="center"/>
          </w:tcPr>
          <w:p w:rsidR="00F360BB" w:rsidRPr="00F360BB" w:rsidRDefault="00F360BB" w:rsidP="00F360BB">
            <w:pPr>
              <w:jc w:val="center"/>
              <w:rPr>
                <w:rFonts w:asciiTheme="minorHAnsi" w:hAnsiTheme="minorHAnsi" w:cstheme="minorHAnsi"/>
                <w:szCs w:val="22"/>
              </w:rPr>
            </w:pPr>
            <w:r w:rsidRPr="00F360BB">
              <w:rPr>
                <w:rFonts w:asciiTheme="minorHAnsi" w:hAnsiTheme="minorHAnsi" w:cstheme="minorHAnsi"/>
                <w:szCs w:val="22"/>
              </w:rPr>
              <w:t>-0.8</w:t>
            </w:r>
          </w:p>
        </w:tc>
        <w:tc>
          <w:tcPr>
            <w:tcW w:w="1741" w:type="dxa"/>
            <w:tcBorders>
              <w:top w:val="single" w:sz="4" w:space="0" w:color="1F497D" w:themeColor="text2"/>
              <w:left w:val="nil"/>
              <w:bottom w:val="nil"/>
              <w:right w:val="nil"/>
            </w:tcBorders>
            <w:vAlign w:val="center"/>
          </w:tcPr>
          <w:p w:rsidR="00F360BB" w:rsidRPr="00F360BB" w:rsidRDefault="00F360BB" w:rsidP="00F360BB">
            <w:pPr>
              <w:jc w:val="center"/>
              <w:rPr>
                <w:rFonts w:asciiTheme="minorHAnsi" w:hAnsiTheme="minorHAnsi" w:cstheme="minorHAnsi"/>
                <w:szCs w:val="22"/>
              </w:rPr>
            </w:pPr>
            <w:r w:rsidRPr="00F360BB">
              <w:rPr>
                <w:rFonts w:asciiTheme="minorHAnsi" w:hAnsiTheme="minorHAnsi" w:cstheme="minorHAnsi"/>
                <w:szCs w:val="22"/>
              </w:rPr>
              <w:t>-</w:t>
            </w:r>
          </w:p>
        </w:tc>
        <w:tc>
          <w:tcPr>
            <w:tcW w:w="1745" w:type="dxa"/>
            <w:tcBorders>
              <w:top w:val="single" w:sz="4" w:space="0" w:color="1F497D" w:themeColor="text2"/>
              <w:left w:val="nil"/>
              <w:bottom w:val="nil"/>
              <w:right w:val="nil"/>
            </w:tcBorders>
            <w:vAlign w:val="center"/>
          </w:tcPr>
          <w:p w:rsidR="00F360BB" w:rsidRPr="00F360BB" w:rsidRDefault="00F360BB" w:rsidP="00F360BB">
            <w:pPr>
              <w:jc w:val="center"/>
              <w:rPr>
                <w:rFonts w:asciiTheme="minorHAnsi" w:hAnsiTheme="minorHAnsi" w:cstheme="minorHAnsi"/>
                <w:szCs w:val="22"/>
              </w:rPr>
            </w:pPr>
            <w:r w:rsidRPr="00F360BB">
              <w:rPr>
                <w:rFonts w:asciiTheme="minorHAnsi" w:hAnsiTheme="minorHAnsi" w:cstheme="minorHAnsi"/>
                <w:szCs w:val="22"/>
              </w:rPr>
              <w:t>0.1</w:t>
            </w:r>
          </w:p>
        </w:tc>
      </w:tr>
    </w:tbl>
    <w:p w:rsidR="00A636DB" w:rsidRDefault="00A636DB" w:rsidP="00A636DB"/>
    <w:p w:rsidR="00F360BB" w:rsidRDefault="00F360BB">
      <w:pPr>
        <w:rPr>
          <w:rFonts w:cstheme="minorHAnsi"/>
          <w:b/>
          <w:color w:val="000000"/>
        </w:rPr>
      </w:pPr>
      <w:r>
        <w:rPr>
          <w:rFonts w:cstheme="minorHAnsi"/>
          <w:b/>
          <w:color w:val="000000"/>
        </w:rPr>
        <w:br w:type="page"/>
      </w:r>
    </w:p>
    <w:p w:rsidR="00220D12" w:rsidRPr="005A4BE6" w:rsidRDefault="00220D12" w:rsidP="00220D12">
      <w:pPr>
        <w:widowControl w:val="0"/>
        <w:autoSpaceDE w:val="0"/>
        <w:autoSpaceDN w:val="0"/>
        <w:adjustRightInd w:val="0"/>
        <w:spacing w:line="360" w:lineRule="auto"/>
        <w:jc w:val="center"/>
        <w:rPr>
          <w:rFonts w:cstheme="minorHAnsi"/>
          <w:b/>
          <w:color w:val="000000"/>
        </w:rPr>
      </w:pPr>
      <w:r>
        <w:rPr>
          <w:rFonts w:cstheme="minorHAnsi"/>
          <w:b/>
          <w:color w:val="000000"/>
        </w:rPr>
        <w:t xml:space="preserve">Change in Annual Generation (Base Case, in </w:t>
      </w:r>
      <w:proofErr w:type="spellStart"/>
      <w:r>
        <w:rPr>
          <w:rFonts w:cstheme="minorHAnsi"/>
          <w:b/>
          <w:color w:val="000000"/>
        </w:rPr>
        <w:t>GWh</w:t>
      </w:r>
      <w:proofErr w:type="spellEnd"/>
      <w:r>
        <w:rPr>
          <w:rFonts w:cstheme="minorHAnsi"/>
          <w:b/>
          <w:color w:val="000000"/>
        </w:rPr>
        <w:t>)</w:t>
      </w:r>
    </w:p>
    <w:tbl>
      <w:tblPr>
        <w:tblStyle w:val="TableGrid"/>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372"/>
        <w:gridCol w:w="1747"/>
        <w:gridCol w:w="1745"/>
        <w:gridCol w:w="1741"/>
        <w:gridCol w:w="1745"/>
      </w:tblGrid>
      <w:tr w:rsidR="00220D12" w:rsidRPr="00D00633" w:rsidTr="005B5FA1">
        <w:trPr>
          <w:trHeight w:val="576"/>
          <w:jc w:val="center"/>
        </w:trPr>
        <w:tc>
          <w:tcPr>
            <w:tcW w:w="2372" w:type="dxa"/>
            <w:tcBorders>
              <w:top w:val="single" w:sz="4" w:space="0" w:color="1F497D" w:themeColor="text2"/>
              <w:left w:val="single" w:sz="4" w:space="0" w:color="1F497D" w:themeColor="text2"/>
              <w:bottom w:val="nil"/>
              <w:right w:val="nil"/>
            </w:tcBorders>
            <w:shd w:val="solid" w:color="003865" w:fill="auto"/>
            <w:vAlign w:val="center"/>
          </w:tcPr>
          <w:p w:rsidR="00220D12" w:rsidRPr="00BB2B40" w:rsidRDefault="00220D12" w:rsidP="005B5FA1">
            <w:pPr>
              <w:rPr>
                <w:rFonts w:asciiTheme="minorHAnsi" w:hAnsiTheme="minorHAnsi" w:cstheme="minorHAnsi"/>
                <w:b/>
                <w:szCs w:val="22"/>
              </w:rPr>
            </w:pPr>
          </w:p>
        </w:tc>
        <w:tc>
          <w:tcPr>
            <w:tcW w:w="1747" w:type="dxa"/>
            <w:tcBorders>
              <w:top w:val="single" w:sz="4" w:space="0" w:color="1F497D" w:themeColor="text2"/>
              <w:left w:val="nil"/>
              <w:bottom w:val="nil"/>
              <w:right w:val="nil"/>
            </w:tcBorders>
            <w:shd w:val="solid" w:color="003865" w:fill="auto"/>
            <w:vAlign w:val="center"/>
          </w:tcPr>
          <w:p w:rsidR="00220D12" w:rsidRPr="00BB2B40" w:rsidRDefault="00220D12" w:rsidP="005B5FA1">
            <w:pPr>
              <w:jc w:val="center"/>
              <w:rPr>
                <w:rFonts w:asciiTheme="minorHAnsi" w:hAnsiTheme="minorHAnsi" w:cstheme="minorHAnsi"/>
                <w:b/>
                <w:szCs w:val="22"/>
              </w:rPr>
            </w:pPr>
            <w:r>
              <w:rPr>
                <w:rFonts w:asciiTheme="minorHAnsi" w:hAnsiTheme="minorHAnsi" w:cstheme="minorHAnsi"/>
                <w:b/>
                <w:szCs w:val="22"/>
              </w:rPr>
              <w:t>Houston Zone</w:t>
            </w:r>
          </w:p>
        </w:tc>
        <w:tc>
          <w:tcPr>
            <w:tcW w:w="1745" w:type="dxa"/>
            <w:tcBorders>
              <w:top w:val="single" w:sz="4" w:space="0" w:color="1F497D" w:themeColor="text2"/>
              <w:left w:val="nil"/>
              <w:bottom w:val="nil"/>
              <w:right w:val="nil"/>
            </w:tcBorders>
            <w:shd w:val="solid" w:color="003865" w:fill="auto"/>
            <w:vAlign w:val="center"/>
          </w:tcPr>
          <w:p w:rsidR="00220D12" w:rsidRPr="00BB2B40" w:rsidRDefault="00220D12" w:rsidP="005B5FA1">
            <w:pPr>
              <w:jc w:val="center"/>
              <w:rPr>
                <w:rFonts w:asciiTheme="minorHAnsi" w:hAnsiTheme="minorHAnsi" w:cstheme="minorHAnsi"/>
                <w:b/>
                <w:szCs w:val="22"/>
              </w:rPr>
            </w:pPr>
            <w:r>
              <w:rPr>
                <w:rFonts w:asciiTheme="minorHAnsi" w:hAnsiTheme="minorHAnsi" w:cstheme="minorHAnsi"/>
                <w:b/>
                <w:szCs w:val="22"/>
              </w:rPr>
              <w:t>North Zone</w:t>
            </w:r>
          </w:p>
        </w:tc>
        <w:tc>
          <w:tcPr>
            <w:tcW w:w="1741" w:type="dxa"/>
            <w:tcBorders>
              <w:top w:val="single" w:sz="4" w:space="0" w:color="1F497D" w:themeColor="text2"/>
              <w:left w:val="nil"/>
              <w:bottom w:val="nil"/>
              <w:right w:val="nil"/>
            </w:tcBorders>
            <w:shd w:val="solid" w:color="003865" w:fill="auto"/>
            <w:vAlign w:val="center"/>
          </w:tcPr>
          <w:p w:rsidR="00220D12" w:rsidRPr="007922B0" w:rsidRDefault="00220D12" w:rsidP="005B5FA1">
            <w:pPr>
              <w:jc w:val="center"/>
              <w:rPr>
                <w:rFonts w:asciiTheme="minorHAnsi" w:hAnsiTheme="minorHAnsi" w:cstheme="minorHAnsi"/>
                <w:b/>
                <w:szCs w:val="22"/>
              </w:rPr>
            </w:pPr>
            <w:r>
              <w:rPr>
                <w:rFonts w:asciiTheme="minorHAnsi" w:hAnsiTheme="minorHAnsi" w:cstheme="minorHAnsi"/>
                <w:b/>
                <w:szCs w:val="22"/>
              </w:rPr>
              <w:t>South Zone</w:t>
            </w:r>
          </w:p>
        </w:tc>
        <w:tc>
          <w:tcPr>
            <w:tcW w:w="1745" w:type="dxa"/>
            <w:tcBorders>
              <w:top w:val="single" w:sz="4" w:space="0" w:color="1F497D" w:themeColor="text2"/>
              <w:left w:val="nil"/>
              <w:bottom w:val="nil"/>
              <w:right w:val="single" w:sz="4" w:space="0" w:color="1F497D" w:themeColor="text2"/>
            </w:tcBorders>
            <w:shd w:val="solid" w:color="003865" w:fill="auto"/>
            <w:vAlign w:val="center"/>
          </w:tcPr>
          <w:p w:rsidR="00220D12" w:rsidRPr="00BB2B40" w:rsidRDefault="00220D12" w:rsidP="005B5FA1">
            <w:pPr>
              <w:jc w:val="center"/>
              <w:rPr>
                <w:rFonts w:asciiTheme="minorHAnsi" w:hAnsiTheme="minorHAnsi" w:cstheme="minorHAnsi"/>
                <w:b/>
                <w:szCs w:val="22"/>
              </w:rPr>
            </w:pPr>
            <w:r>
              <w:rPr>
                <w:rFonts w:asciiTheme="minorHAnsi" w:hAnsiTheme="minorHAnsi" w:cstheme="minorHAnsi"/>
                <w:b/>
                <w:szCs w:val="22"/>
              </w:rPr>
              <w:t>West Zone</w:t>
            </w:r>
          </w:p>
        </w:tc>
      </w:tr>
      <w:tr w:rsidR="00F360BB" w:rsidRPr="000A4D5C" w:rsidTr="005B5FA1">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Combined-cycle greater than 90 MW</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3,359</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-6,790</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444</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-949</w:t>
            </w:r>
          </w:p>
        </w:tc>
      </w:tr>
      <w:tr w:rsidR="00F360BB" w:rsidRPr="000A4D5C" w:rsidTr="005B5FA1">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Combined-cycle less than or equal to 90 MW</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496</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753</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-190</w:t>
            </w:r>
          </w:p>
        </w:tc>
      </w:tr>
      <w:tr w:rsidR="00F360BB" w:rsidRPr="000A4D5C" w:rsidTr="005B5FA1">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Coal and lignite</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1,641</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-496</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335</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-374</w:t>
            </w:r>
          </w:p>
        </w:tc>
      </w:tr>
      <w:tr w:rsidR="00F360BB" w:rsidRPr="000A4D5C" w:rsidTr="005B5FA1">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Reciprocating engines</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-16</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-31</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r>
      <w:tr w:rsidR="00F360BB" w:rsidRPr="000A4D5C" w:rsidTr="005B5FA1">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Gas steam non-reheat or boiler without air-preheater</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-28</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79</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r>
      <w:tr w:rsidR="00F360BB" w:rsidRPr="000A4D5C" w:rsidTr="005B5FA1">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Gas steam reheat boiler</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109</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-343</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122</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-43</w:t>
            </w:r>
          </w:p>
        </w:tc>
      </w:tr>
      <w:tr w:rsidR="00F360BB" w:rsidRPr="000A4D5C" w:rsidTr="005B5FA1">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Gas steam supercritical boiler</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436</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r>
      <w:tr w:rsidR="00F360BB" w:rsidRPr="000A4D5C" w:rsidTr="005B5FA1">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Hydro</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w:t>
            </w:r>
          </w:p>
        </w:tc>
      </w:tr>
      <w:tr w:rsidR="00F360BB" w:rsidRPr="000A4D5C" w:rsidTr="005B5FA1">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Nuclear</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sidRPr="007922B0">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sidRPr="007922B0">
              <w:rPr>
                <w:rFonts w:asciiTheme="minorHAnsi" w:hAnsiTheme="minorHAnsi" w:cstheme="minorHAnsi"/>
                <w:szCs w:val="22"/>
              </w:rPr>
              <w:t>1</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252</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sidRPr="007922B0">
              <w:rPr>
                <w:rFonts w:asciiTheme="minorHAnsi" w:hAnsiTheme="minorHAnsi" w:cstheme="minorHAnsi"/>
                <w:szCs w:val="22"/>
              </w:rPr>
              <w:t>-</w:t>
            </w:r>
          </w:p>
        </w:tc>
      </w:tr>
      <w:tr w:rsidR="00F360BB" w:rsidRPr="000A4D5C" w:rsidTr="005B5FA1">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Simple-cycle greater than 90 MW</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-30</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-460</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480</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-19</w:t>
            </w:r>
          </w:p>
        </w:tc>
      </w:tr>
      <w:tr w:rsidR="00F360BB" w:rsidRPr="000A4D5C" w:rsidTr="005B5FA1">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rPr>
                <w:rFonts w:asciiTheme="minorHAnsi" w:hAnsiTheme="minorHAnsi" w:cstheme="minorHAnsi"/>
                <w:szCs w:val="22"/>
              </w:rPr>
            </w:pPr>
            <w:r w:rsidRPr="00F360BB">
              <w:rPr>
                <w:rFonts w:asciiTheme="minorHAnsi" w:hAnsiTheme="minorHAnsi" w:cstheme="minorHAnsi"/>
                <w:sz w:val="18"/>
                <w:szCs w:val="22"/>
              </w:rPr>
              <w:t>Simple-cycle less than or equal to 90 MW</w:t>
            </w:r>
          </w:p>
        </w:tc>
        <w:tc>
          <w:tcPr>
            <w:tcW w:w="1747"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-49</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4</w:t>
            </w:r>
          </w:p>
        </w:tc>
        <w:tc>
          <w:tcPr>
            <w:tcW w:w="1741"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-12</w:t>
            </w:r>
          </w:p>
        </w:tc>
        <w:tc>
          <w:tcPr>
            <w:tcW w:w="1745" w:type="dxa"/>
            <w:tcBorders>
              <w:top w:val="single" w:sz="4" w:space="0" w:color="1F497D" w:themeColor="text2"/>
              <w:left w:val="nil"/>
              <w:bottom w:val="single" w:sz="4" w:space="0" w:color="1F497D" w:themeColor="text2"/>
              <w:right w:val="nil"/>
            </w:tcBorders>
            <w:vAlign w:val="center"/>
          </w:tcPr>
          <w:p w:rsidR="00F360BB" w:rsidRPr="007922B0" w:rsidRDefault="00F360BB" w:rsidP="00F360BB">
            <w:pPr>
              <w:jc w:val="center"/>
              <w:rPr>
                <w:rFonts w:asciiTheme="minorHAnsi" w:hAnsiTheme="minorHAnsi" w:cstheme="minorHAnsi"/>
                <w:szCs w:val="22"/>
              </w:rPr>
            </w:pPr>
            <w:r>
              <w:rPr>
                <w:rFonts w:asciiTheme="minorHAnsi" w:hAnsiTheme="minorHAnsi" w:cstheme="minorHAnsi"/>
                <w:szCs w:val="22"/>
              </w:rPr>
              <w:t>-0</w:t>
            </w:r>
          </w:p>
        </w:tc>
      </w:tr>
      <w:tr w:rsidR="00F360BB" w:rsidRPr="000A4D5C" w:rsidTr="005B5FA1">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rPr>
                <w:rFonts w:asciiTheme="minorHAnsi" w:hAnsiTheme="minorHAnsi" w:cstheme="minorHAnsi"/>
                <w:szCs w:val="22"/>
              </w:rPr>
            </w:pPr>
            <w:proofErr w:type="spellStart"/>
            <w:r w:rsidRPr="00F360BB">
              <w:rPr>
                <w:rFonts w:asciiTheme="minorHAnsi" w:hAnsiTheme="minorHAnsi" w:cstheme="minorHAnsi"/>
                <w:sz w:val="18"/>
                <w:szCs w:val="22"/>
              </w:rPr>
              <w:t>PhotoVoltaic</w:t>
            </w:r>
            <w:proofErr w:type="spellEnd"/>
            <w:r w:rsidRPr="00F360BB">
              <w:rPr>
                <w:rFonts w:asciiTheme="minorHAnsi" w:hAnsiTheme="minorHAnsi" w:cstheme="minorHAnsi"/>
                <w:sz w:val="18"/>
                <w:szCs w:val="22"/>
              </w:rPr>
              <w:t xml:space="preserve"> Generation Resources </w:t>
            </w:r>
          </w:p>
        </w:tc>
        <w:tc>
          <w:tcPr>
            <w:tcW w:w="1747"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F360BB" w:rsidRDefault="00F360BB" w:rsidP="00F360BB">
            <w:pPr>
              <w:jc w:val="center"/>
              <w:rPr>
                <w:rFonts w:cstheme="minorHAnsi"/>
              </w:rPr>
            </w:pPr>
            <w:r>
              <w:rPr>
                <w:rFonts w:asciiTheme="minorHAnsi" w:hAnsiTheme="minorHAnsi" w:cstheme="minorHAnsi"/>
                <w:szCs w:val="22"/>
              </w:rPr>
              <w:t>0</w:t>
            </w:r>
          </w:p>
        </w:tc>
        <w:tc>
          <w:tcPr>
            <w:tcW w:w="1745"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5</w:t>
            </w:r>
          </w:p>
        </w:tc>
      </w:tr>
      <w:tr w:rsidR="00F360BB" w:rsidRPr="000A4D5C" w:rsidTr="00F360B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rPr>
                <w:rFonts w:asciiTheme="minorHAnsi" w:hAnsiTheme="minorHAnsi" w:cstheme="minorHAnsi"/>
                <w:szCs w:val="22"/>
              </w:rPr>
            </w:pPr>
            <w:r w:rsidRPr="00F360BB">
              <w:rPr>
                <w:rFonts w:asciiTheme="minorHAnsi" w:hAnsiTheme="minorHAnsi" w:cstheme="minorHAnsi"/>
                <w:sz w:val="18"/>
                <w:szCs w:val="22"/>
              </w:rPr>
              <w:t>Wind generation Resources</w:t>
            </w:r>
          </w:p>
        </w:tc>
        <w:tc>
          <w:tcPr>
            <w:tcW w:w="1747"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4</w:t>
            </w:r>
          </w:p>
        </w:tc>
        <w:tc>
          <w:tcPr>
            <w:tcW w:w="1741" w:type="dxa"/>
            <w:tcBorders>
              <w:top w:val="single" w:sz="4" w:space="0" w:color="1F497D" w:themeColor="text2"/>
              <w:left w:val="nil"/>
              <w:bottom w:val="single" w:sz="4" w:space="0" w:color="1F497D" w:themeColor="text2"/>
              <w:right w:val="nil"/>
            </w:tcBorders>
            <w:vAlign w:val="center"/>
          </w:tcPr>
          <w:p w:rsidR="00F360BB" w:rsidRDefault="00F360BB" w:rsidP="00F360BB">
            <w:pPr>
              <w:jc w:val="center"/>
              <w:rPr>
                <w:rFonts w:cstheme="minorHAnsi"/>
              </w:rPr>
            </w:pPr>
            <w:r>
              <w:rPr>
                <w:rFonts w:asciiTheme="minorHAnsi" w:hAnsiTheme="minorHAnsi" w:cstheme="minorHAnsi"/>
                <w:szCs w:val="22"/>
              </w:rPr>
              <w:t>279</w:t>
            </w:r>
          </w:p>
        </w:tc>
        <w:tc>
          <w:tcPr>
            <w:tcW w:w="1745" w:type="dxa"/>
            <w:tcBorders>
              <w:top w:val="single" w:sz="4" w:space="0" w:color="1F497D" w:themeColor="text2"/>
              <w:left w:val="nil"/>
              <w:bottom w:val="single" w:sz="4" w:space="0" w:color="1F497D" w:themeColor="text2"/>
              <w:right w:val="nil"/>
            </w:tcBorders>
            <w:vAlign w:val="center"/>
          </w:tcPr>
          <w:p w:rsidR="00F360BB" w:rsidRPr="000A4D5C" w:rsidRDefault="00F360BB" w:rsidP="00F360BB">
            <w:pPr>
              <w:jc w:val="center"/>
              <w:rPr>
                <w:rFonts w:asciiTheme="minorHAnsi" w:hAnsiTheme="minorHAnsi" w:cstheme="minorHAnsi"/>
                <w:szCs w:val="22"/>
              </w:rPr>
            </w:pPr>
            <w:r>
              <w:rPr>
                <w:rFonts w:asciiTheme="minorHAnsi" w:hAnsiTheme="minorHAnsi" w:cstheme="minorHAnsi"/>
                <w:szCs w:val="22"/>
              </w:rPr>
              <w:t>24</w:t>
            </w:r>
          </w:p>
        </w:tc>
      </w:tr>
      <w:tr w:rsidR="00F360BB" w:rsidRPr="000A4D5C" w:rsidTr="005B5FA1">
        <w:trPr>
          <w:trHeight w:val="576"/>
          <w:jc w:val="center"/>
        </w:trPr>
        <w:tc>
          <w:tcPr>
            <w:tcW w:w="2372" w:type="dxa"/>
            <w:tcBorders>
              <w:top w:val="single" w:sz="4" w:space="0" w:color="1F497D" w:themeColor="text2"/>
              <w:left w:val="nil"/>
              <w:bottom w:val="nil"/>
              <w:right w:val="nil"/>
            </w:tcBorders>
            <w:vAlign w:val="center"/>
          </w:tcPr>
          <w:p w:rsidR="00F360BB" w:rsidRDefault="00F360BB" w:rsidP="00F360BB">
            <w:pPr>
              <w:rPr>
                <w:rFonts w:cstheme="minorHAnsi"/>
              </w:rPr>
            </w:pPr>
            <w:r w:rsidRPr="00F360BB">
              <w:rPr>
                <w:rFonts w:asciiTheme="minorHAnsi" w:hAnsiTheme="minorHAnsi" w:cstheme="minorHAnsi"/>
                <w:sz w:val="18"/>
                <w:szCs w:val="22"/>
              </w:rPr>
              <w:t>Other</w:t>
            </w:r>
          </w:p>
        </w:tc>
        <w:tc>
          <w:tcPr>
            <w:tcW w:w="1747" w:type="dxa"/>
            <w:tcBorders>
              <w:top w:val="single" w:sz="4" w:space="0" w:color="1F497D" w:themeColor="text2"/>
              <w:left w:val="nil"/>
              <w:bottom w:val="nil"/>
              <w:right w:val="nil"/>
            </w:tcBorders>
            <w:vAlign w:val="center"/>
          </w:tcPr>
          <w:p w:rsidR="00F360BB" w:rsidRDefault="00F360BB" w:rsidP="00F360BB">
            <w:pPr>
              <w:jc w:val="center"/>
              <w:rPr>
                <w:rFonts w:cstheme="minorHAnsi"/>
              </w:rPr>
            </w:pPr>
            <w:r>
              <w:rPr>
                <w:rFonts w:asciiTheme="minorHAnsi" w:hAnsiTheme="minorHAnsi" w:cstheme="minorHAnsi"/>
                <w:szCs w:val="22"/>
              </w:rPr>
              <w:t>-</w:t>
            </w:r>
          </w:p>
        </w:tc>
        <w:tc>
          <w:tcPr>
            <w:tcW w:w="1745" w:type="dxa"/>
            <w:tcBorders>
              <w:top w:val="single" w:sz="4" w:space="0" w:color="1F497D" w:themeColor="text2"/>
              <w:left w:val="nil"/>
              <w:bottom w:val="nil"/>
              <w:right w:val="nil"/>
            </w:tcBorders>
            <w:vAlign w:val="center"/>
          </w:tcPr>
          <w:p w:rsidR="00F360BB" w:rsidRDefault="00F360BB" w:rsidP="00F360BB">
            <w:pPr>
              <w:jc w:val="center"/>
              <w:rPr>
                <w:rFonts w:cstheme="minorHAnsi"/>
              </w:rPr>
            </w:pPr>
            <w:r>
              <w:rPr>
                <w:rFonts w:asciiTheme="minorHAnsi" w:hAnsiTheme="minorHAnsi" w:cstheme="minorHAnsi"/>
                <w:szCs w:val="22"/>
              </w:rPr>
              <w:t>-10</w:t>
            </w:r>
          </w:p>
        </w:tc>
        <w:tc>
          <w:tcPr>
            <w:tcW w:w="1741" w:type="dxa"/>
            <w:tcBorders>
              <w:top w:val="single" w:sz="4" w:space="0" w:color="1F497D" w:themeColor="text2"/>
              <w:left w:val="nil"/>
              <w:bottom w:val="nil"/>
              <w:right w:val="nil"/>
            </w:tcBorders>
            <w:vAlign w:val="center"/>
          </w:tcPr>
          <w:p w:rsidR="00F360BB" w:rsidRDefault="00F360BB" w:rsidP="00F360BB">
            <w:pPr>
              <w:jc w:val="center"/>
              <w:rPr>
                <w:rFonts w:cstheme="minorHAnsi"/>
              </w:rPr>
            </w:pPr>
            <w:r>
              <w:rPr>
                <w:rFonts w:asciiTheme="minorHAnsi" w:hAnsiTheme="minorHAnsi" w:cstheme="minorHAnsi"/>
                <w:szCs w:val="22"/>
              </w:rPr>
              <w:t>-</w:t>
            </w:r>
          </w:p>
        </w:tc>
        <w:tc>
          <w:tcPr>
            <w:tcW w:w="1745" w:type="dxa"/>
            <w:tcBorders>
              <w:top w:val="single" w:sz="4" w:space="0" w:color="1F497D" w:themeColor="text2"/>
              <w:left w:val="nil"/>
              <w:bottom w:val="nil"/>
              <w:right w:val="nil"/>
            </w:tcBorders>
            <w:vAlign w:val="center"/>
          </w:tcPr>
          <w:p w:rsidR="00F360BB" w:rsidRDefault="00F360BB" w:rsidP="00F360BB">
            <w:pPr>
              <w:jc w:val="center"/>
              <w:rPr>
                <w:rFonts w:cstheme="minorHAnsi"/>
              </w:rPr>
            </w:pPr>
            <w:r>
              <w:rPr>
                <w:rFonts w:asciiTheme="minorHAnsi" w:hAnsiTheme="minorHAnsi" w:cstheme="minorHAnsi"/>
                <w:szCs w:val="22"/>
              </w:rPr>
              <w:t>4</w:t>
            </w:r>
          </w:p>
        </w:tc>
      </w:tr>
    </w:tbl>
    <w:p w:rsidR="00220D12" w:rsidRDefault="00220D12" w:rsidP="00220D12"/>
    <w:p w:rsidR="00F360BB" w:rsidRDefault="00F360BB">
      <w:pPr>
        <w:rPr>
          <w:rFonts w:cstheme="minorHAnsi"/>
          <w:b/>
          <w:color w:val="000000"/>
        </w:rPr>
      </w:pPr>
      <w:r>
        <w:rPr>
          <w:rFonts w:cstheme="minorHAnsi"/>
          <w:b/>
          <w:color w:val="000000"/>
        </w:rPr>
        <w:br w:type="page"/>
      </w:r>
    </w:p>
    <w:p w:rsidR="0089582E" w:rsidRPr="005A4BE6" w:rsidRDefault="0089582E" w:rsidP="0089582E">
      <w:pPr>
        <w:widowControl w:val="0"/>
        <w:autoSpaceDE w:val="0"/>
        <w:autoSpaceDN w:val="0"/>
        <w:adjustRightInd w:val="0"/>
        <w:spacing w:line="360" w:lineRule="auto"/>
        <w:jc w:val="center"/>
        <w:rPr>
          <w:rFonts w:cstheme="minorHAnsi"/>
          <w:b/>
          <w:color w:val="000000"/>
        </w:rPr>
      </w:pPr>
      <w:r>
        <w:rPr>
          <w:rFonts w:cstheme="minorHAnsi"/>
          <w:b/>
          <w:color w:val="000000"/>
        </w:rPr>
        <w:t>Change in Annual Generat</w:t>
      </w:r>
      <w:r w:rsidR="00F87CBB">
        <w:rPr>
          <w:rFonts w:cstheme="minorHAnsi"/>
          <w:b/>
          <w:color w:val="000000"/>
        </w:rPr>
        <w:t>or Revenue</w:t>
      </w:r>
      <w:r>
        <w:rPr>
          <w:rFonts w:cstheme="minorHAnsi"/>
          <w:b/>
          <w:color w:val="000000"/>
        </w:rPr>
        <w:t xml:space="preserve"> (High Gas Price Case, in </w:t>
      </w:r>
      <w:r w:rsidR="00F87CBB">
        <w:rPr>
          <w:rFonts w:cstheme="minorHAnsi"/>
          <w:b/>
          <w:color w:val="000000"/>
        </w:rPr>
        <w:t>$M</w:t>
      </w:r>
      <w:r>
        <w:rPr>
          <w:rFonts w:cstheme="minorHAnsi"/>
          <w:b/>
          <w:color w:val="000000"/>
        </w:rPr>
        <w:t>)</w:t>
      </w:r>
    </w:p>
    <w:tbl>
      <w:tblPr>
        <w:tblStyle w:val="TableGrid"/>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372"/>
        <w:gridCol w:w="1747"/>
        <w:gridCol w:w="1745"/>
        <w:gridCol w:w="1741"/>
        <w:gridCol w:w="1745"/>
      </w:tblGrid>
      <w:tr w:rsidR="0089582E" w:rsidRPr="00D00633" w:rsidTr="00AA79CF">
        <w:trPr>
          <w:trHeight w:val="576"/>
          <w:jc w:val="center"/>
        </w:trPr>
        <w:tc>
          <w:tcPr>
            <w:tcW w:w="2372" w:type="dxa"/>
            <w:tcBorders>
              <w:top w:val="single" w:sz="4" w:space="0" w:color="1F497D" w:themeColor="text2"/>
              <w:left w:val="single" w:sz="4" w:space="0" w:color="1F497D" w:themeColor="text2"/>
              <w:bottom w:val="nil"/>
              <w:right w:val="nil"/>
            </w:tcBorders>
            <w:shd w:val="solid" w:color="003865" w:fill="auto"/>
            <w:vAlign w:val="center"/>
          </w:tcPr>
          <w:p w:rsidR="0089582E" w:rsidRPr="00BB2B40" w:rsidRDefault="0089582E" w:rsidP="00AA79CF">
            <w:pPr>
              <w:rPr>
                <w:rFonts w:asciiTheme="minorHAnsi" w:hAnsiTheme="minorHAnsi" w:cstheme="minorHAnsi"/>
                <w:b/>
                <w:szCs w:val="22"/>
              </w:rPr>
            </w:pPr>
          </w:p>
        </w:tc>
        <w:tc>
          <w:tcPr>
            <w:tcW w:w="1747" w:type="dxa"/>
            <w:tcBorders>
              <w:top w:val="single" w:sz="4" w:space="0" w:color="1F497D" w:themeColor="text2"/>
              <w:left w:val="nil"/>
              <w:bottom w:val="nil"/>
              <w:right w:val="nil"/>
            </w:tcBorders>
            <w:shd w:val="solid" w:color="003865" w:fill="auto"/>
            <w:vAlign w:val="center"/>
          </w:tcPr>
          <w:p w:rsidR="0089582E" w:rsidRPr="00BB2B40" w:rsidRDefault="0089582E" w:rsidP="00AA79CF">
            <w:pPr>
              <w:jc w:val="center"/>
              <w:rPr>
                <w:rFonts w:asciiTheme="minorHAnsi" w:hAnsiTheme="minorHAnsi" w:cstheme="minorHAnsi"/>
                <w:b/>
                <w:szCs w:val="22"/>
              </w:rPr>
            </w:pPr>
            <w:r>
              <w:rPr>
                <w:rFonts w:asciiTheme="minorHAnsi" w:hAnsiTheme="minorHAnsi" w:cstheme="minorHAnsi"/>
                <w:b/>
                <w:szCs w:val="22"/>
              </w:rPr>
              <w:t>Houston Zone</w:t>
            </w:r>
          </w:p>
        </w:tc>
        <w:tc>
          <w:tcPr>
            <w:tcW w:w="1745" w:type="dxa"/>
            <w:tcBorders>
              <w:top w:val="single" w:sz="4" w:space="0" w:color="1F497D" w:themeColor="text2"/>
              <w:left w:val="nil"/>
              <w:bottom w:val="nil"/>
              <w:right w:val="nil"/>
            </w:tcBorders>
            <w:shd w:val="solid" w:color="003865" w:fill="auto"/>
            <w:vAlign w:val="center"/>
          </w:tcPr>
          <w:p w:rsidR="0089582E" w:rsidRPr="00BB2B40" w:rsidRDefault="0089582E" w:rsidP="00AA79CF">
            <w:pPr>
              <w:jc w:val="center"/>
              <w:rPr>
                <w:rFonts w:asciiTheme="minorHAnsi" w:hAnsiTheme="minorHAnsi" w:cstheme="minorHAnsi"/>
                <w:b/>
                <w:szCs w:val="22"/>
              </w:rPr>
            </w:pPr>
            <w:r>
              <w:rPr>
                <w:rFonts w:asciiTheme="minorHAnsi" w:hAnsiTheme="minorHAnsi" w:cstheme="minorHAnsi"/>
                <w:b/>
                <w:szCs w:val="22"/>
              </w:rPr>
              <w:t>North Zone</w:t>
            </w:r>
          </w:p>
        </w:tc>
        <w:tc>
          <w:tcPr>
            <w:tcW w:w="1741" w:type="dxa"/>
            <w:tcBorders>
              <w:top w:val="single" w:sz="4" w:space="0" w:color="1F497D" w:themeColor="text2"/>
              <w:left w:val="nil"/>
              <w:bottom w:val="nil"/>
              <w:right w:val="nil"/>
            </w:tcBorders>
            <w:shd w:val="solid" w:color="003865" w:fill="auto"/>
            <w:vAlign w:val="center"/>
          </w:tcPr>
          <w:p w:rsidR="0089582E" w:rsidRPr="007922B0" w:rsidRDefault="0089582E" w:rsidP="00AA79CF">
            <w:pPr>
              <w:jc w:val="center"/>
              <w:rPr>
                <w:rFonts w:asciiTheme="minorHAnsi" w:hAnsiTheme="minorHAnsi" w:cstheme="minorHAnsi"/>
                <w:b/>
                <w:szCs w:val="22"/>
              </w:rPr>
            </w:pPr>
            <w:r>
              <w:rPr>
                <w:rFonts w:asciiTheme="minorHAnsi" w:hAnsiTheme="minorHAnsi" w:cstheme="minorHAnsi"/>
                <w:b/>
                <w:szCs w:val="22"/>
              </w:rPr>
              <w:t>South Zone</w:t>
            </w:r>
          </w:p>
        </w:tc>
        <w:tc>
          <w:tcPr>
            <w:tcW w:w="1745" w:type="dxa"/>
            <w:tcBorders>
              <w:top w:val="single" w:sz="4" w:space="0" w:color="1F497D" w:themeColor="text2"/>
              <w:left w:val="nil"/>
              <w:bottom w:val="nil"/>
              <w:right w:val="single" w:sz="4" w:space="0" w:color="1F497D" w:themeColor="text2"/>
            </w:tcBorders>
            <w:shd w:val="solid" w:color="003865" w:fill="auto"/>
            <w:vAlign w:val="center"/>
          </w:tcPr>
          <w:p w:rsidR="0089582E" w:rsidRPr="00BB2B40" w:rsidRDefault="0089582E" w:rsidP="00AA79CF">
            <w:pPr>
              <w:jc w:val="center"/>
              <w:rPr>
                <w:rFonts w:asciiTheme="minorHAnsi" w:hAnsiTheme="minorHAnsi" w:cstheme="minorHAnsi"/>
                <w:b/>
                <w:szCs w:val="22"/>
              </w:rPr>
            </w:pPr>
            <w:r>
              <w:rPr>
                <w:rFonts w:asciiTheme="minorHAnsi" w:hAnsiTheme="minorHAnsi" w:cstheme="minorHAnsi"/>
                <w:b/>
                <w:szCs w:val="22"/>
              </w:rPr>
              <w:t>West Zone</w:t>
            </w:r>
          </w:p>
        </w:tc>
      </w:tr>
      <w:tr w:rsidR="002C1B98"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Combined-cycle greater than 90 MW</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137.1</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-307.4</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25.2</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-24.0</w:t>
            </w:r>
          </w:p>
        </w:tc>
      </w:tr>
      <w:tr w:rsidR="002C1B98"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Combined-cycle less than or equal to 90 MW</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17.3</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31.6</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-1.6</w:t>
            </w:r>
          </w:p>
        </w:tc>
      </w:tr>
      <w:tr w:rsidR="002C1B98"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Coal and lignite</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99.9</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-61.4</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18.8</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-27.8</w:t>
            </w:r>
          </w:p>
        </w:tc>
      </w:tr>
      <w:tr w:rsidR="002C1B98"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Reciprocating engines</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-0.3</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-0.9</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r>
      <w:tr w:rsidR="002C1B98"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Gas steam non-reheat or boiler without air-preheater</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-2.2</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0.5</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-0.2</w:t>
            </w:r>
          </w:p>
        </w:tc>
      </w:tr>
      <w:tr w:rsidR="002C1B98"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Gas steam reheat boiler</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3.9</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-11.8</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4.6</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-0.9</w:t>
            </w:r>
          </w:p>
        </w:tc>
      </w:tr>
      <w:tr w:rsidR="002C1B98"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Gas steam supercritical boiler</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11.9</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r>
      <w:tr w:rsidR="002C1B98"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Hydro</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-0.3</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-0.1</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r>
      <w:tr w:rsidR="002C1B98"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Nuclear</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sidRPr="007922B0">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-14.0</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43.9</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sidRPr="007922B0">
              <w:rPr>
                <w:rFonts w:asciiTheme="minorHAnsi" w:hAnsiTheme="minorHAnsi" w:cstheme="minorHAnsi"/>
                <w:szCs w:val="22"/>
              </w:rPr>
              <w:t>-</w:t>
            </w:r>
          </w:p>
        </w:tc>
      </w:tr>
      <w:tr w:rsidR="002C1B98"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Simple-cycle greater than 90 MW</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-5.0</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-18.0</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18.8</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-1.2</w:t>
            </w:r>
          </w:p>
        </w:tc>
      </w:tr>
      <w:tr w:rsidR="002C1B98"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Simple-cycle less than or equal to 90 MW</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-5.2</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0.0</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-0.0</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-1.0</w:t>
            </w:r>
          </w:p>
        </w:tc>
      </w:tr>
      <w:tr w:rsidR="002C1B98" w:rsidRPr="000A4D5C" w:rsidTr="00AA79CF">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0A4D5C" w:rsidRDefault="002C1B98" w:rsidP="002C1B98">
            <w:pPr>
              <w:rPr>
                <w:rFonts w:asciiTheme="minorHAnsi" w:hAnsiTheme="minorHAnsi" w:cstheme="minorHAnsi"/>
                <w:szCs w:val="22"/>
              </w:rPr>
            </w:pPr>
            <w:proofErr w:type="spellStart"/>
            <w:r w:rsidRPr="00F360BB">
              <w:rPr>
                <w:rFonts w:asciiTheme="minorHAnsi" w:hAnsiTheme="minorHAnsi" w:cstheme="minorHAnsi"/>
                <w:sz w:val="18"/>
                <w:szCs w:val="22"/>
              </w:rPr>
              <w:t>PhotoVoltaic</w:t>
            </w:r>
            <w:proofErr w:type="spellEnd"/>
            <w:r w:rsidRPr="00F360BB">
              <w:rPr>
                <w:rFonts w:asciiTheme="minorHAnsi" w:hAnsiTheme="minorHAnsi" w:cstheme="minorHAnsi"/>
                <w:sz w:val="18"/>
                <w:szCs w:val="22"/>
              </w:rPr>
              <w:t xml:space="preserve"> Generation Resources </w:t>
            </w:r>
          </w:p>
        </w:tc>
        <w:tc>
          <w:tcPr>
            <w:tcW w:w="1747" w:type="dxa"/>
            <w:tcBorders>
              <w:top w:val="single" w:sz="4" w:space="0" w:color="1F497D" w:themeColor="text2"/>
              <w:left w:val="nil"/>
              <w:bottom w:val="single" w:sz="4" w:space="0" w:color="1F497D" w:themeColor="text2"/>
              <w:right w:val="nil"/>
            </w:tcBorders>
            <w:vAlign w:val="center"/>
          </w:tcPr>
          <w:p w:rsidR="002C1B98" w:rsidRPr="000A4D5C"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2C1B98" w:rsidRPr="000A4D5C" w:rsidRDefault="002C1B98" w:rsidP="002C1B98">
            <w:pPr>
              <w:jc w:val="center"/>
              <w:rPr>
                <w:rFonts w:asciiTheme="minorHAnsi" w:hAnsiTheme="minorHAnsi" w:cstheme="minorHAnsi"/>
                <w:szCs w:val="22"/>
              </w:rPr>
            </w:pPr>
            <w:r>
              <w:rPr>
                <w:rFonts w:asciiTheme="minorHAnsi" w:hAnsiTheme="minorHAnsi" w:cstheme="minorHAnsi"/>
                <w:szCs w:val="22"/>
              </w:rPr>
              <w:t>-1.1</w:t>
            </w:r>
          </w:p>
        </w:tc>
        <w:tc>
          <w:tcPr>
            <w:tcW w:w="1741" w:type="dxa"/>
            <w:tcBorders>
              <w:top w:val="single" w:sz="4" w:space="0" w:color="1F497D" w:themeColor="text2"/>
              <w:left w:val="nil"/>
              <w:bottom w:val="single" w:sz="4" w:space="0" w:color="1F497D" w:themeColor="text2"/>
              <w:right w:val="nil"/>
            </w:tcBorders>
            <w:vAlign w:val="center"/>
          </w:tcPr>
          <w:p w:rsidR="002C1B98" w:rsidRDefault="002C1B98" w:rsidP="002C1B98">
            <w:pPr>
              <w:jc w:val="center"/>
              <w:rPr>
                <w:rFonts w:cstheme="minorHAnsi"/>
              </w:rPr>
            </w:pPr>
            <w:r>
              <w:rPr>
                <w:rFonts w:asciiTheme="minorHAnsi" w:hAnsiTheme="minorHAnsi" w:cstheme="minorHAnsi"/>
                <w:szCs w:val="22"/>
              </w:rPr>
              <w:t>-0.0</w:t>
            </w:r>
          </w:p>
        </w:tc>
        <w:tc>
          <w:tcPr>
            <w:tcW w:w="1745" w:type="dxa"/>
            <w:tcBorders>
              <w:top w:val="single" w:sz="4" w:space="0" w:color="1F497D" w:themeColor="text2"/>
              <w:left w:val="nil"/>
              <w:bottom w:val="single" w:sz="4" w:space="0" w:color="1F497D" w:themeColor="text2"/>
              <w:right w:val="nil"/>
            </w:tcBorders>
            <w:vAlign w:val="center"/>
          </w:tcPr>
          <w:p w:rsidR="002C1B98" w:rsidRPr="000A4D5C" w:rsidRDefault="002C1B98" w:rsidP="002C1B98">
            <w:pPr>
              <w:jc w:val="center"/>
              <w:rPr>
                <w:rFonts w:asciiTheme="minorHAnsi" w:hAnsiTheme="minorHAnsi" w:cstheme="minorHAnsi"/>
                <w:szCs w:val="22"/>
              </w:rPr>
            </w:pPr>
            <w:r>
              <w:rPr>
                <w:rFonts w:asciiTheme="minorHAnsi" w:hAnsiTheme="minorHAnsi" w:cstheme="minorHAnsi"/>
                <w:szCs w:val="22"/>
              </w:rPr>
              <w:t>-14.5</w:t>
            </w:r>
          </w:p>
        </w:tc>
      </w:tr>
      <w:tr w:rsidR="002C1B98" w:rsidRPr="000A4D5C" w:rsidTr="00F360B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0A4D5C" w:rsidRDefault="002C1B98" w:rsidP="002C1B98">
            <w:pPr>
              <w:rPr>
                <w:rFonts w:asciiTheme="minorHAnsi" w:hAnsiTheme="minorHAnsi" w:cstheme="minorHAnsi"/>
                <w:szCs w:val="22"/>
              </w:rPr>
            </w:pPr>
            <w:r w:rsidRPr="00F360BB">
              <w:rPr>
                <w:rFonts w:asciiTheme="minorHAnsi" w:hAnsiTheme="minorHAnsi" w:cstheme="minorHAnsi"/>
                <w:sz w:val="18"/>
                <w:szCs w:val="22"/>
              </w:rPr>
              <w:t>Wind generation Resources</w:t>
            </w:r>
          </w:p>
        </w:tc>
        <w:tc>
          <w:tcPr>
            <w:tcW w:w="1747" w:type="dxa"/>
            <w:tcBorders>
              <w:top w:val="single" w:sz="4" w:space="0" w:color="1F497D" w:themeColor="text2"/>
              <w:left w:val="nil"/>
              <w:bottom w:val="single" w:sz="4" w:space="0" w:color="1F497D" w:themeColor="text2"/>
              <w:right w:val="nil"/>
            </w:tcBorders>
            <w:vAlign w:val="center"/>
          </w:tcPr>
          <w:p w:rsidR="002C1B98" w:rsidRPr="000A4D5C"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2C1B98" w:rsidRPr="000A4D5C" w:rsidRDefault="002C1B98" w:rsidP="002C1B98">
            <w:pPr>
              <w:jc w:val="center"/>
              <w:rPr>
                <w:rFonts w:asciiTheme="minorHAnsi" w:hAnsiTheme="minorHAnsi" w:cstheme="minorHAnsi"/>
                <w:szCs w:val="22"/>
              </w:rPr>
            </w:pPr>
            <w:r>
              <w:rPr>
                <w:rFonts w:asciiTheme="minorHAnsi" w:hAnsiTheme="minorHAnsi" w:cstheme="minorHAnsi"/>
                <w:szCs w:val="22"/>
              </w:rPr>
              <w:t>-2.0</w:t>
            </w:r>
          </w:p>
        </w:tc>
        <w:tc>
          <w:tcPr>
            <w:tcW w:w="1741" w:type="dxa"/>
            <w:tcBorders>
              <w:top w:val="single" w:sz="4" w:space="0" w:color="1F497D" w:themeColor="text2"/>
              <w:left w:val="nil"/>
              <w:bottom w:val="single" w:sz="4" w:space="0" w:color="1F497D" w:themeColor="text2"/>
              <w:right w:val="nil"/>
            </w:tcBorders>
            <w:vAlign w:val="center"/>
          </w:tcPr>
          <w:p w:rsidR="002C1B98" w:rsidRDefault="002C1B98" w:rsidP="002C1B98">
            <w:pPr>
              <w:jc w:val="center"/>
              <w:rPr>
                <w:rFonts w:cstheme="minorHAnsi"/>
              </w:rPr>
            </w:pPr>
            <w:r>
              <w:rPr>
                <w:rFonts w:asciiTheme="minorHAnsi" w:hAnsiTheme="minorHAnsi" w:cstheme="minorHAnsi"/>
                <w:szCs w:val="22"/>
              </w:rPr>
              <w:t>-15.9</w:t>
            </w:r>
          </w:p>
        </w:tc>
        <w:tc>
          <w:tcPr>
            <w:tcW w:w="1745" w:type="dxa"/>
            <w:tcBorders>
              <w:top w:val="single" w:sz="4" w:space="0" w:color="1F497D" w:themeColor="text2"/>
              <w:left w:val="nil"/>
              <w:bottom w:val="single" w:sz="4" w:space="0" w:color="1F497D" w:themeColor="text2"/>
              <w:right w:val="nil"/>
            </w:tcBorders>
            <w:vAlign w:val="center"/>
          </w:tcPr>
          <w:p w:rsidR="002C1B98" w:rsidRPr="000A4D5C" w:rsidRDefault="002C1B98" w:rsidP="002C1B98">
            <w:pPr>
              <w:jc w:val="center"/>
              <w:rPr>
                <w:rFonts w:asciiTheme="minorHAnsi" w:hAnsiTheme="minorHAnsi" w:cstheme="minorHAnsi"/>
                <w:szCs w:val="22"/>
              </w:rPr>
            </w:pPr>
            <w:r>
              <w:rPr>
                <w:rFonts w:asciiTheme="minorHAnsi" w:hAnsiTheme="minorHAnsi" w:cstheme="minorHAnsi"/>
                <w:szCs w:val="22"/>
              </w:rPr>
              <w:t>-118.0</w:t>
            </w:r>
          </w:p>
        </w:tc>
      </w:tr>
      <w:tr w:rsidR="002C1B98" w:rsidRPr="000A4D5C" w:rsidTr="00AA79CF">
        <w:trPr>
          <w:trHeight w:val="576"/>
          <w:jc w:val="center"/>
        </w:trPr>
        <w:tc>
          <w:tcPr>
            <w:tcW w:w="2372" w:type="dxa"/>
            <w:tcBorders>
              <w:top w:val="single" w:sz="4" w:space="0" w:color="1F497D" w:themeColor="text2"/>
              <w:left w:val="nil"/>
              <w:bottom w:val="nil"/>
              <w:right w:val="nil"/>
            </w:tcBorders>
            <w:vAlign w:val="center"/>
          </w:tcPr>
          <w:p w:rsidR="002C1B98" w:rsidRDefault="002C1B98" w:rsidP="002C1B98">
            <w:pPr>
              <w:rPr>
                <w:rFonts w:cstheme="minorHAnsi"/>
              </w:rPr>
            </w:pPr>
            <w:r w:rsidRPr="00F360BB">
              <w:rPr>
                <w:rFonts w:asciiTheme="minorHAnsi" w:hAnsiTheme="minorHAnsi" w:cstheme="minorHAnsi"/>
                <w:sz w:val="18"/>
                <w:szCs w:val="22"/>
              </w:rPr>
              <w:t>Other</w:t>
            </w:r>
          </w:p>
        </w:tc>
        <w:tc>
          <w:tcPr>
            <w:tcW w:w="1747" w:type="dxa"/>
            <w:tcBorders>
              <w:top w:val="single" w:sz="4" w:space="0" w:color="1F497D" w:themeColor="text2"/>
              <w:left w:val="nil"/>
              <w:bottom w:val="nil"/>
              <w:right w:val="nil"/>
            </w:tcBorders>
            <w:vAlign w:val="center"/>
          </w:tcPr>
          <w:p w:rsidR="002C1B98" w:rsidRDefault="002C1B98" w:rsidP="002C1B98">
            <w:pPr>
              <w:jc w:val="center"/>
              <w:rPr>
                <w:rFonts w:cstheme="minorHAnsi"/>
              </w:rPr>
            </w:pPr>
            <w:r>
              <w:rPr>
                <w:rFonts w:asciiTheme="minorHAnsi" w:hAnsiTheme="minorHAnsi" w:cstheme="minorHAnsi"/>
                <w:szCs w:val="22"/>
              </w:rPr>
              <w:t>-</w:t>
            </w:r>
          </w:p>
        </w:tc>
        <w:tc>
          <w:tcPr>
            <w:tcW w:w="1745" w:type="dxa"/>
            <w:tcBorders>
              <w:top w:val="single" w:sz="4" w:space="0" w:color="1F497D" w:themeColor="text2"/>
              <w:left w:val="nil"/>
              <w:bottom w:val="nil"/>
              <w:right w:val="nil"/>
            </w:tcBorders>
            <w:vAlign w:val="center"/>
          </w:tcPr>
          <w:p w:rsidR="002C1B98" w:rsidRDefault="002C1B98" w:rsidP="002C1B98">
            <w:pPr>
              <w:jc w:val="center"/>
              <w:rPr>
                <w:rFonts w:cstheme="minorHAnsi"/>
              </w:rPr>
            </w:pPr>
            <w:r>
              <w:rPr>
                <w:rFonts w:asciiTheme="minorHAnsi" w:hAnsiTheme="minorHAnsi" w:cstheme="minorHAnsi"/>
                <w:szCs w:val="22"/>
              </w:rPr>
              <w:t>-0.7</w:t>
            </w:r>
          </w:p>
        </w:tc>
        <w:tc>
          <w:tcPr>
            <w:tcW w:w="1741" w:type="dxa"/>
            <w:tcBorders>
              <w:top w:val="single" w:sz="4" w:space="0" w:color="1F497D" w:themeColor="text2"/>
              <w:left w:val="nil"/>
              <w:bottom w:val="nil"/>
              <w:right w:val="nil"/>
            </w:tcBorders>
            <w:vAlign w:val="center"/>
          </w:tcPr>
          <w:p w:rsidR="002C1B98" w:rsidRDefault="002C1B98" w:rsidP="002C1B98">
            <w:pPr>
              <w:jc w:val="center"/>
              <w:rPr>
                <w:rFonts w:cstheme="minorHAnsi"/>
              </w:rPr>
            </w:pPr>
            <w:r>
              <w:rPr>
                <w:rFonts w:asciiTheme="minorHAnsi" w:hAnsiTheme="minorHAnsi" w:cstheme="minorHAnsi"/>
                <w:szCs w:val="22"/>
              </w:rPr>
              <w:t>-</w:t>
            </w:r>
          </w:p>
        </w:tc>
        <w:tc>
          <w:tcPr>
            <w:tcW w:w="1745" w:type="dxa"/>
            <w:tcBorders>
              <w:top w:val="single" w:sz="4" w:space="0" w:color="1F497D" w:themeColor="text2"/>
              <w:left w:val="nil"/>
              <w:bottom w:val="nil"/>
              <w:right w:val="nil"/>
            </w:tcBorders>
            <w:vAlign w:val="center"/>
          </w:tcPr>
          <w:p w:rsidR="002C1B98" w:rsidRDefault="002C1B98" w:rsidP="002C1B98">
            <w:pPr>
              <w:jc w:val="center"/>
              <w:rPr>
                <w:rFonts w:cstheme="minorHAnsi"/>
              </w:rPr>
            </w:pPr>
            <w:r>
              <w:rPr>
                <w:rFonts w:asciiTheme="minorHAnsi" w:hAnsiTheme="minorHAnsi" w:cstheme="minorHAnsi"/>
                <w:szCs w:val="22"/>
              </w:rPr>
              <w:t>0.0</w:t>
            </w:r>
          </w:p>
        </w:tc>
      </w:tr>
    </w:tbl>
    <w:p w:rsidR="0089582E" w:rsidRDefault="0089582E" w:rsidP="0089582E"/>
    <w:p w:rsidR="00F360BB" w:rsidRDefault="00F360BB">
      <w:pPr>
        <w:rPr>
          <w:rFonts w:cstheme="minorHAnsi"/>
          <w:b/>
          <w:color w:val="000000"/>
        </w:rPr>
      </w:pPr>
      <w:r>
        <w:rPr>
          <w:rFonts w:cstheme="minorHAnsi"/>
          <w:b/>
          <w:color w:val="000000"/>
        </w:rPr>
        <w:br w:type="page"/>
      </w:r>
    </w:p>
    <w:p w:rsidR="00F87CBB" w:rsidRPr="005A4BE6" w:rsidRDefault="00F87CBB" w:rsidP="00F87CBB">
      <w:pPr>
        <w:widowControl w:val="0"/>
        <w:autoSpaceDE w:val="0"/>
        <w:autoSpaceDN w:val="0"/>
        <w:adjustRightInd w:val="0"/>
        <w:spacing w:line="360" w:lineRule="auto"/>
        <w:jc w:val="center"/>
        <w:rPr>
          <w:rFonts w:cstheme="minorHAnsi"/>
          <w:b/>
          <w:color w:val="000000"/>
        </w:rPr>
      </w:pPr>
      <w:r>
        <w:rPr>
          <w:rFonts w:cstheme="minorHAnsi"/>
          <w:b/>
          <w:color w:val="000000"/>
        </w:rPr>
        <w:t xml:space="preserve">Change in Annual Generation (High Gas Price Case, in </w:t>
      </w:r>
      <w:proofErr w:type="spellStart"/>
      <w:r>
        <w:rPr>
          <w:rFonts w:cstheme="minorHAnsi"/>
          <w:b/>
          <w:color w:val="000000"/>
        </w:rPr>
        <w:t>GWh</w:t>
      </w:r>
      <w:proofErr w:type="spellEnd"/>
      <w:r>
        <w:rPr>
          <w:rFonts w:cstheme="minorHAnsi"/>
          <w:b/>
          <w:color w:val="000000"/>
        </w:rPr>
        <w:t>)</w:t>
      </w:r>
    </w:p>
    <w:tbl>
      <w:tblPr>
        <w:tblStyle w:val="TableGrid"/>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372"/>
        <w:gridCol w:w="1747"/>
        <w:gridCol w:w="1745"/>
        <w:gridCol w:w="1741"/>
        <w:gridCol w:w="1745"/>
      </w:tblGrid>
      <w:tr w:rsidR="00F87CBB" w:rsidRPr="00D00633" w:rsidTr="00F87CBB">
        <w:trPr>
          <w:trHeight w:val="576"/>
          <w:jc w:val="center"/>
        </w:trPr>
        <w:tc>
          <w:tcPr>
            <w:tcW w:w="2372" w:type="dxa"/>
            <w:tcBorders>
              <w:top w:val="single" w:sz="4" w:space="0" w:color="1F497D" w:themeColor="text2"/>
              <w:left w:val="single" w:sz="4" w:space="0" w:color="1F497D" w:themeColor="text2"/>
              <w:bottom w:val="nil"/>
              <w:right w:val="nil"/>
            </w:tcBorders>
            <w:shd w:val="solid" w:color="003865" w:fill="auto"/>
            <w:vAlign w:val="center"/>
          </w:tcPr>
          <w:p w:rsidR="00F87CBB" w:rsidRPr="00BB2B40" w:rsidRDefault="00F87CBB" w:rsidP="00F87CBB">
            <w:pPr>
              <w:rPr>
                <w:rFonts w:asciiTheme="minorHAnsi" w:hAnsiTheme="minorHAnsi" w:cstheme="minorHAnsi"/>
                <w:b/>
                <w:szCs w:val="22"/>
              </w:rPr>
            </w:pPr>
          </w:p>
        </w:tc>
        <w:tc>
          <w:tcPr>
            <w:tcW w:w="1747" w:type="dxa"/>
            <w:tcBorders>
              <w:top w:val="single" w:sz="4" w:space="0" w:color="1F497D" w:themeColor="text2"/>
              <w:left w:val="nil"/>
              <w:bottom w:val="nil"/>
              <w:right w:val="nil"/>
            </w:tcBorders>
            <w:shd w:val="solid" w:color="003865" w:fill="auto"/>
            <w:vAlign w:val="center"/>
          </w:tcPr>
          <w:p w:rsidR="00F87CBB" w:rsidRPr="00BB2B40" w:rsidRDefault="00F87CBB" w:rsidP="00F87CBB">
            <w:pPr>
              <w:jc w:val="center"/>
              <w:rPr>
                <w:rFonts w:asciiTheme="minorHAnsi" w:hAnsiTheme="minorHAnsi" w:cstheme="minorHAnsi"/>
                <w:b/>
                <w:szCs w:val="22"/>
              </w:rPr>
            </w:pPr>
            <w:r>
              <w:rPr>
                <w:rFonts w:asciiTheme="minorHAnsi" w:hAnsiTheme="minorHAnsi" w:cstheme="minorHAnsi"/>
                <w:b/>
                <w:szCs w:val="22"/>
              </w:rPr>
              <w:t>Houston Zone</w:t>
            </w:r>
          </w:p>
        </w:tc>
        <w:tc>
          <w:tcPr>
            <w:tcW w:w="1745" w:type="dxa"/>
            <w:tcBorders>
              <w:top w:val="single" w:sz="4" w:space="0" w:color="1F497D" w:themeColor="text2"/>
              <w:left w:val="nil"/>
              <w:bottom w:val="nil"/>
              <w:right w:val="nil"/>
            </w:tcBorders>
            <w:shd w:val="solid" w:color="003865" w:fill="auto"/>
            <w:vAlign w:val="center"/>
          </w:tcPr>
          <w:p w:rsidR="00F87CBB" w:rsidRPr="00BB2B40" w:rsidRDefault="00F87CBB" w:rsidP="00F87CBB">
            <w:pPr>
              <w:jc w:val="center"/>
              <w:rPr>
                <w:rFonts w:asciiTheme="minorHAnsi" w:hAnsiTheme="minorHAnsi" w:cstheme="minorHAnsi"/>
                <w:b/>
                <w:szCs w:val="22"/>
              </w:rPr>
            </w:pPr>
            <w:r>
              <w:rPr>
                <w:rFonts w:asciiTheme="minorHAnsi" w:hAnsiTheme="minorHAnsi" w:cstheme="minorHAnsi"/>
                <w:b/>
                <w:szCs w:val="22"/>
              </w:rPr>
              <w:t>North Zone</w:t>
            </w:r>
          </w:p>
        </w:tc>
        <w:tc>
          <w:tcPr>
            <w:tcW w:w="1741" w:type="dxa"/>
            <w:tcBorders>
              <w:top w:val="single" w:sz="4" w:space="0" w:color="1F497D" w:themeColor="text2"/>
              <w:left w:val="nil"/>
              <w:bottom w:val="nil"/>
              <w:right w:val="nil"/>
            </w:tcBorders>
            <w:shd w:val="solid" w:color="003865" w:fill="auto"/>
            <w:vAlign w:val="center"/>
          </w:tcPr>
          <w:p w:rsidR="00F87CBB" w:rsidRPr="007922B0" w:rsidRDefault="00F87CBB" w:rsidP="00F87CBB">
            <w:pPr>
              <w:jc w:val="center"/>
              <w:rPr>
                <w:rFonts w:asciiTheme="minorHAnsi" w:hAnsiTheme="minorHAnsi" w:cstheme="minorHAnsi"/>
                <w:b/>
                <w:szCs w:val="22"/>
              </w:rPr>
            </w:pPr>
            <w:r>
              <w:rPr>
                <w:rFonts w:asciiTheme="minorHAnsi" w:hAnsiTheme="minorHAnsi" w:cstheme="minorHAnsi"/>
                <w:b/>
                <w:szCs w:val="22"/>
              </w:rPr>
              <w:t>South Zone</w:t>
            </w:r>
          </w:p>
        </w:tc>
        <w:tc>
          <w:tcPr>
            <w:tcW w:w="1745" w:type="dxa"/>
            <w:tcBorders>
              <w:top w:val="single" w:sz="4" w:space="0" w:color="1F497D" w:themeColor="text2"/>
              <w:left w:val="nil"/>
              <w:bottom w:val="nil"/>
              <w:right w:val="single" w:sz="4" w:space="0" w:color="1F497D" w:themeColor="text2"/>
            </w:tcBorders>
            <w:shd w:val="solid" w:color="003865" w:fill="auto"/>
            <w:vAlign w:val="center"/>
          </w:tcPr>
          <w:p w:rsidR="00F87CBB" w:rsidRPr="00BB2B40" w:rsidRDefault="00F87CBB" w:rsidP="00F87CBB">
            <w:pPr>
              <w:jc w:val="center"/>
              <w:rPr>
                <w:rFonts w:asciiTheme="minorHAnsi" w:hAnsiTheme="minorHAnsi" w:cstheme="minorHAnsi"/>
                <w:b/>
                <w:szCs w:val="22"/>
              </w:rPr>
            </w:pPr>
            <w:r>
              <w:rPr>
                <w:rFonts w:asciiTheme="minorHAnsi" w:hAnsiTheme="minorHAnsi" w:cstheme="minorHAnsi"/>
                <w:b/>
                <w:szCs w:val="22"/>
              </w:rPr>
              <w:t>West Zone</w:t>
            </w:r>
          </w:p>
        </w:tc>
      </w:tr>
      <w:tr w:rsidR="002C1B98" w:rsidRPr="000A4D5C" w:rsidTr="00F87CB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Combined-cycle greater than 90 MW</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3,655</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-8,910</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1,016</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-773</w:t>
            </w:r>
          </w:p>
        </w:tc>
      </w:tr>
      <w:tr w:rsidR="002C1B98" w:rsidRPr="000A4D5C" w:rsidTr="00F87CB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Combined-cycle less than or equal to 90 MW</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465</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911</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-47</w:t>
            </w:r>
          </w:p>
        </w:tc>
      </w:tr>
      <w:tr w:rsidR="002C1B98" w:rsidRPr="000A4D5C" w:rsidTr="00F87CB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Coal and lignite</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2,866</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-490</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629</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-863</w:t>
            </w:r>
          </w:p>
        </w:tc>
      </w:tr>
      <w:tr w:rsidR="002C1B98" w:rsidRPr="000A4D5C" w:rsidTr="00F87CB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Reciprocating engines</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-8</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-17</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r>
      <w:tr w:rsidR="002C1B98" w:rsidRPr="000A4D5C" w:rsidTr="00F87CB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Gas steam non-reheat or boiler without air-preheater</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-23</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13</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r>
      <w:tr w:rsidR="002C1B98" w:rsidRPr="000A4D5C" w:rsidTr="00F87CB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Gas steam reheat boiler</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82</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-274</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110</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-20</w:t>
            </w:r>
          </w:p>
        </w:tc>
      </w:tr>
      <w:tr w:rsidR="002C1B98" w:rsidRPr="000A4D5C" w:rsidTr="00F87CB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Gas steam supercritical boiler</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290</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r>
      <w:tr w:rsidR="002C1B98" w:rsidRPr="000A4D5C" w:rsidTr="00F87CB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Hydro</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0</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w:t>
            </w:r>
          </w:p>
        </w:tc>
      </w:tr>
      <w:tr w:rsidR="002C1B98" w:rsidRPr="000A4D5C" w:rsidTr="00F87CB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Nuclear</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sidRPr="007922B0">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sidRPr="007922B0">
              <w:rPr>
                <w:rFonts w:asciiTheme="minorHAnsi" w:hAnsiTheme="minorHAnsi" w:cstheme="minorHAnsi"/>
                <w:szCs w:val="22"/>
              </w:rPr>
              <w:t>1</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40</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sidRPr="007922B0">
              <w:rPr>
                <w:rFonts w:asciiTheme="minorHAnsi" w:hAnsiTheme="minorHAnsi" w:cstheme="minorHAnsi"/>
                <w:szCs w:val="22"/>
              </w:rPr>
              <w:t>-</w:t>
            </w:r>
          </w:p>
        </w:tc>
      </w:tr>
      <w:tr w:rsidR="002C1B98" w:rsidRPr="000A4D5C" w:rsidTr="00F87CB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Simple-cycle greater than 90 MW</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-75</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-582</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559</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-22</w:t>
            </w:r>
          </w:p>
        </w:tc>
      </w:tr>
      <w:tr w:rsidR="002C1B98" w:rsidRPr="000A4D5C" w:rsidTr="00F87CB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rPr>
                <w:rFonts w:asciiTheme="minorHAnsi" w:hAnsiTheme="minorHAnsi" w:cstheme="minorHAnsi"/>
                <w:szCs w:val="22"/>
              </w:rPr>
            </w:pPr>
            <w:r w:rsidRPr="00F360BB">
              <w:rPr>
                <w:rFonts w:asciiTheme="minorHAnsi" w:hAnsiTheme="minorHAnsi" w:cstheme="minorHAnsi"/>
                <w:sz w:val="18"/>
                <w:szCs w:val="22"/>
              </w:rPr>
              <w:t>Simple-cycle less than or equal to 90 MW</w:t>
            </w:r>
          </w:p>
        </w:tc>
        <w:tc>
          <w:tcPr>
            <w:tcW w:w="1747"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-89</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0</w:t>
            </w:r>
          </w:p>
        </w:tc>
        <w:tc>
          <w:tcPr>
            <w:tcW w:w="1741"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-16</w:t>
            </w:r>
          </w:p>
        </w:tc>
        <w:tc>
          <w:tcPr>
            <w:tcW w:w="1745" w:type="dxa"/>
            <w:tcBorders>
              <w:top w:val="single" w:sz="4" w:space="0" w:color="1F497D" w:themeColor="text2"/>
              <w:left w:val="nil"/>
              <w:bottom w:val="single" w:sz="4" w:space="0" w:color="1F497D" w:themeColor="text2"/>
              <w:right w:val="nil"/>
            </w:tcBorders>
            <w:vAlign w:val="center"/>
          </w:tcPr>
          <w:p w:rsidR="002C1B98" w:rsidRPr="007922B0" w:rsidRDefault="002C1B98" w:rsidP="002C1B98">
            <w:pPr>
              <w:jc w:val="center"/>
              <w:rPr>
                <w:rFonts w:asciiTheme="minorHAnsi" w:hAnsiTheme="minorHAnsi" w:cstheme="minorHAnsi"/>
                <w:szCs w:val="22"/>
              </w:rPr>
            </w:pPr>
            <w:r>
              <w:rPr>
                <w:rFonts w:asciiTheme="minorHAnsi" w:hAnsiTheme="minorHAnsi" w:cstheme="minorHAnsi"/>
                <w:szCs w:val="22"/>
              </w:rPr>
              <w:t>-0</w:t>
            </w:r>
          </w:p>
        </w:tc>
      </w:tr>
      <w:tr w:rsidR="002C1B98" w:rsidRPr="000A4D5C" w:rsidTr="00F87CBB">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0A4D5C" w:rsidRDefault="002C1B98" w:rsidP="002C1B98">
            <w:pPr>
              <w:rPr>
                <w:rFonts w:asciiTheme="minorHAnsi" w:hAnsiTheme="minorHAnsi" w:cstheme="minorHAnsi"/>
                <w:szCs w:val="22"/>
              </w:rPr>
            </w:pPr>
            <w:proofErr w:type="spellStart"/>
            <w:r w:rsidRPr="00F360BB">
              <w:rPr>
                <w:rFonts w:asciiTheme="minorHAnsi" w:hAnsiTheme="minorHAnsi" w:cstheme="minorHAnsi"/>
                <w:sz w:val="18"/>
                <w:szCs w:val="22"/>
              </w:rPr>
              <w:t>PhotoVoltaic</w:t>
            </w:r>
            <w:proofErr w:type="spellEnd"/>
            <w:r w:rsidRPr="00F360BB">
              <w:rPr>
                <w:rFonts w:asciiTheme="minorHAnsi" w:hAnsiTheme="minorHAnsi" w:cstheme="minorHAnsi"/>
                <w:sz w:val="18"/>
                <w:szCs w:val="22"/>
              </w:rPr>
              <w:t xml:space="preserve"> Generation Resources </w:t>
            </w:r>
          </w:p>
        </w:tc>
        <w:tc>
          <w:tcPr>
            <w:tcW w:w="1747" w:type="dxa"/>
            <w:tcBorders>
              <w:top w:val="single" w:sz="4" w:space="0" w:color="1F497D" w:themeColor="text2"/>
              <w:left w:val="nil"/>
              <w:bottom w:val="single" w:sz="4" w:space="0" w:color="1F497D" w:themeColor="text2"/>
              <w:right w:val="nil"/>
            </w:tcBorders>
            <w:vAlign w:val="center"/>
          </w:tcPr>
          <w:p w:rsidR="002C1B98" w:rsidRPr="000A4D5C"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2C1B98" w:rsidRPr="000A4D5C"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1" w:type="dxa"/>
            <w:tcBorders>
              <w:top w:val="single" w:sz="4" w:space="0" w:color="1F497D" w:themeColor="text2"/>
              <w:left w:val="nil"/>
              <w:bottom w:val="single" w:sz="4" w:space="0" w:color="1F497D" w:themeColor="text2"/>
              <w:right w:val="nil"/>
            </w:tcBorders>
            <w:vAlign w:val="center"/>
          </w:tcPr>
          <w:p w:rsidR="002C1B98" w:rsidRDefault="002C1B98" w:rsidP="002C1B98">
            <w:pPr>
              <w:jc w:val="center"/>
              <w:rPr>
                <w:rFonts w:cstheme="minorHAnsi"/>
              </w:rPr>
            </w:pPr>
            <w:r>
              <w:rPr>
                <w:rFonts w:asciiTheme="minorHAnsi" w:hAnsiTheme="minorHAnsi" w:cstheme="minorHAnsi"/>
                <w:szCs w:val="22"/>
              </w:rPr>
              <w:t>1</w:t>
            </w:r>
          </w:p>
        </w:tc>
        <w:tc>
          <w:tcPr>
            <w:tcW w:w="1745" w:type="dxa"/>
            <w:tcBorders>
              <w:top w:val="single" w:sz="4" w:space="0" w:color="1F497D" w:themeColor="text2"/>
              <w:left w:val="nil"/>
              <w:bottom w:val="single" w:sz="4" w:space="0" w:color="1F497D" w:themeColor="text2"/>
              <w:right w:val="nil"/>
            </w:tcBorders>
            <w:vAlign w:val="center"/>
          </w:tcPr>
          <w:p w:rsidR="002C1B98" w:rsidRPr="000A4D5C" w:rsidRDefault="002C1B98" w:rsidP="002C1B98">
            <w:pPr>
              <w:jc w:val="center"/>
              <w:rPr>
                <w:rFonts w:asciiTheme="minorHAnsi" w:hAnsiTheme="minorHAnsi" w:cstheme="minorHAnsi"/>
                <w:szCs w:val="22"/>
              </w:rPr>
            </w:pPr>
            <w:r>
              <w:rPr>
                <w:rFonts w:asciiTheme="minorHAnsi" w:hAnsiTheme="minorHAnsi" w:cstheme="minorHAnsi"/>
                <w:szCs w:val="22"/>
              </w:rPr>
              <w:t>5</w:t>
            </w:r>
          </w:p>
        </w:tc>
      </w:tr>
      <w:tr w:rsidR="002C1B98" w:rsidRPr="000A4D5C" w:rsidTr="002C1B98">
        <w:trPr>
          <w:trHeight w:val="576"/>
          <w:jc w:val="center"/>
        </w:trPr>
        <w:tc>
          <w:tcPr>
            <w:tcW w:w="2372" w:type="dxa"/>
            <w:tcBorders>
              <w:top w:val="single" w:sz="4" w:space="0" w:color="1F497D" w:themeColor="text2"/>
              <w:left w:val="nil"/>
              <w:bottom w:val="single" w:sz="4" w:space="0" w:color="1F497D" w:themeColor="text2"/>
              <w:right w:val="nil"/>
            </w:tcBorders>
            <w:vAlign w:val="center"/>
          </w:tcPr>
          <w:p w:rsidR="002C1B98" w:rsidRPr="000A4D5C" w:rsidRDefault="002C1B98" w:rsidP="002C1B98">
            <w:pPr>
              <w:rPr>
                <w:rFonts w:asciiTheme="minorHAnsi" w:hAnsiTheme="minorHAnsi" w:cstheme="minorHAnsi"/>
                <w:szCs w:val="22"/>
              </w:rPr>
            </w:pPr>
            <w:r w:rsidRPr="00F360BB">
              <w:rPr>
                <w:rFonts w:asciiTheme="minorHAnsi" w:hAnsiTheme="minorHAnsi" w:cstheme="minorHAnsi"/>
                <w:sz w:val="18"/>
                <w:szCs w:val="22"/>
              </w:rPr>
              <w:t>Wind generation Resources</w:t>
            </w:r>
          </w:p>
        </w:tc>
        <w:tc>
          <w:tcPr>
            <w:tcW w:w="1747" w:type="dxa"/>
            <w:tcBorders>
              <w:top w:val="single" w:sz="4" w:space="0" w:color="1F497D" w:themeColor="text2"/>
              <w:left w:val="nil"/>
              <w:bottom w:val="single" w:sz="4" w:space="0" w:color="1F497D" w:themeColor="text2"/>
              <w:right w:val="nil"/>
            </w:tcBorders>
            <w:vAlign w:val="center"/>
          </w:tcPr>
          <w:p w:rsidR="002C1B98" w:rsidRPr="000A4D5C" w:rsidRDefault="002C1B98" w:rsidP="002C1B98">
            <w:pPr>
              <w:jc w:val="center"/>
              <w:rPr>
                <w:rFonts w:asciiTheme="minorHAnsi" w:hAnsiTheme="minorHAnsi" w:cstheme="minorHAnsi"/>
                <w:szCs w:val="22"/>
              </w:rPr>
            </w:pPr>
            <w:r>
              <w:rPr>
                <w:rFonts w:asciiTheme="minorHAnsi" w:hAnsiTheme="minorHAnsi" w:cstheme="minorHAnsi"/>
                <w:szCs w:val="22"/>
              </w:rPr>
              <w:t>-</w:t>
            </w:r>
          </w:p>
        </w:tc>
        <w:tc>
          <w:tcPr>
            <w:tcW w:w="1745" w:type="dxa"/>
            <w:tcBorders>
              <w:top w:val="single" w:sz="4" w:space="0" w:color="1F497D" w:themeColor="text2"/>
              <w:left w:val="nil"/>
              <w:bottom w:val="single" w:sz="4" w:space="0" w:color="1F497D" w:themeColor="text2"/>
              <w:right w:val="nil"/>
            </w:tcBorders>
            <w:vAlign w:val="center"/>
          </w:tcPr>
          <w:p w:rsidR="002C1B98" w:rsidRPr="000A4D5C" w:rsidRDefault="002C1B98" w:rsidP="002C1B98">
            <w:pPr>
              <w:jc w:val="center"/>
              <w:rPr>
                <w:rFonts w:asciiTheme="minorHAnsi" w:hAnsiTheme="minorHAnsi" w:cstheme="minorHAnsi"/>
                <w:szCs w:val="22"/>
              </w:rPr>
            </w:pPr>
            <w:r>
              <w:rPr>
                <w:rFonts w:asciiTheme="minorHAnsi" w:hAnsiTheme="minorHAnsi" w:cstheme="minorHAnsi"/>
                <w:szCs w:val="22"/>
              </w:rPr>
              <w:t>7</w:t>
            </w:r>
          </w:p>
        </w:tc>
        <w:tc>
          <w:tcPr>
            <w:tcW w:w="1741" w:type="dxa"/>
            <w:tcBorders>
              <w:top w:val="single" w:sz="4" w:space="0" w:color="1F497D" w:themeColor="text2"/>
              <w:left w:val="nil"/>
              <w:bottom w:val="single" w:sz="4" w:space="0" w:color="1F497D" w:themeColor="text2"/>
              <w:right w:val="nil"/>
            </w:tcBorders>
            <w:vAlign w:val="center"/>
          </w:tcPr>
          <w:p w:rsidR="002C1B98" w:rsidRDefault="002C1B98" w:rsidP="002C1B98">
            <w:pPr>
              <w:jc w:val="center"/>
              <w:rPr>
                <w:rFonts w:cstheme="minorHAnsi"/>
              </w:rPr>
            </w:pPr>
            <w:r>
              <w:rPr>
                <w:rFonts w:asciiTheme="minorHAnsi" w:hAnsiTheme="minorHAnsi" w:cstheme="minorHAnsi"/>
                <w:szCs w:val="22"/>
              </w:rPr>
              <w:t>318</w:t>
            </w:r>
          </w:p>
        </w:tc>
        <w:tc>
          <w:tcPr>
            <w:tcW w:w="1745" w:type="dxa"/>
            <w:tcBorders>
              <w:top w:val="single" w:sz="4" w:space="0" w:color="1F497D" w:themeColor="text2"/>
              <w:left w:val="nil"/>
              <w:bottom w:val="single" w:sz="4" w:space="0" w:color="1F497D" w:themeColor="text2"/>
              <w:right w:val="nil"/>
            </w:tcBorders>
            <w:vAlign w:val="center"/>
          </w:tcPr>
          <w:p w:rsidR="002C1B98" w:rsidRPr="000A4D5C" w:rsidRDefault="002C1B98" w:rsidP="002C1B98">
            <w:pPr>
              <w:jc w:val="center"/>
              <w:rPr>
                <w:rFonts w:asciiTheme="minorHAnsi" w:hAnsiTheme="minorHAnsi" w:cstheme="minorHAnsi"/>
                <w:szCs w:val="22"/>
              </w:rPr>
            </w:pPr>
            <w:r>
              <w:rPr>
                <w:rFonts w:asciiTheme="minorHAnsi" w:hAnsiTheme="minorHAnsi" w:cstheme="minorHAnsi"/>
                <w:szCs w:val="22"/>
              </w:rPr>
              <w:t>36</w:t>
            </w:r>
          </w:p>
        </w:tc>
      </w:tr>
      <w:tr w:rsidR="002C1B98" w:rsidRPr="000A4D5C" w:rsidTr="00F87CBB">
        <w:trPr>
          <w:trHeight w:val="576"/>
          <w:jc w:val="center"/>
        </w:trPr>
        <w:tc>
          <w:tcPr>
            <w:tcW w:w="2372" w:type="dxa"/>
            <w:tcBorders>
              <w:top w:val="single" w:sz="4" w:space="0" w:color="1F497D" w:themeColor="text2"/>
              <w:left w:val="nil"/>
              <w:bottom w:val="nil"/>
              <w:right w:val="nil"/>
            </w:tcBorders>
            <w:vAlign w:val="center"/>
          </w:tcPr>
          <w:p w:rsidR="002C1B98" w:rsidRDefault="002C1B98" w:rsidP="002C1B98">
            <w:pPr>
              <w:rPr>
                <w:rFonts w:cstheme="minorHAnsi"/>
              </w:rPr>
            </w:pPr>
            <w:r w:rsidRPr="00F360BB">
              <w:rPr>
                <w:rFonts w:asciiTheme="minorHAnsi" w:hAnsiTheme="minorHAnsi" w:cstheme="minorHAnsi"/>
                <w:sz w:val="18"/>
                <w:szCs w:val="22"/>
              </w:rPr>
              <w:t>Other</w:t>
            </w:r>
          </w:p>
        </w:tc>
        <w:tc>
          <w:tcPr>
            <w:tcW w:w="1747" w:type="dxa"/>
            <w:tcBorders>
              <w:top w:val="single" w:sz="4" w:space="0" w:color="1F497D" w:themeColor="text2"/>
              <w:left w:val="nil"/>
              <w:bottom w:val="nil"/>
              <w:right w:val="nil"/>
            </w:tcBorders>
            <w:vAlign w:val="center"/>
          </w:tcPr>
          <w:p w:rsidR="002C1B98" w:rsidRDefault="002C1B98" w:rsidP="002C1B98">
            <w:pPr>
              <w:jc w:val="center"/>
              <w:rPr>
                <w:rFonts w:cstheme="minorHAnsi"/>
              </w:rPr>
            </w:pPr>
            <w:r>
              <w:rPr>
                <w:rFonts w:asciiTheme="minorHAnsi" w:hAnsiTheme="minorHAnsi" w:cstheme="minorHAnsi"/>
                <w:szCs w:val="22"/>
              </w:rPr>
              <w:t>-</w:t>
            </w:r>
          </w:p>
        </w:tc>
        <w:tc>
          <w:tcPr>
            <w:tcW w:w="1745" w:type="dxa"/>
            <w:tcBorders>
              <w:top w:val="single" w:sz="4" w:space="0" w:color="1F497D" w:themeColor="text2"/>
              <w:left w:val="nil"/>
              <w:bottom w:val="nil"/>
              <w:right w:val="nil"/>
            </w:tcBorders>
            <w:vAlign w:val="center"/>
          </w:tcPr>
          <w:p w:rsidR="002C1B98" w:rsidRDefault="002C1B98" w:rsidP="002C1B98">
            <w:pPr>
              <w:jc w:val="center"/>
              <w:rPr>
                <w:rFonts w:cstheme="minorHAnsi"/>
              </w:rPr>
            </w:pPr>
            <w:r>
              <w:rPr>
                <w:rFonts w:asciiTheme="minorHAnsi" w:hAnsiTheme="minorHAnsi" w:cstheme="minorHAnsi"/>
                <w:szCs w:val="22"/>
              </w:rPr>
              <w:t>-5</w:t>
            </w:r>
          </w:p>
        </w:tc>
        <w:tc>
          <w:tcPr>
            <w:tcW w:w="1741" w:type="dxa"/>
            <w:tcBorders>
              <w:top w:val="single" w:sz="4" w:space="0" w:color="1F497D" w:themeColor="text2"/>
              <w:left w:val="nil"/>
              <w:bottom w:val="nil"/>
              <w:right w:val="nil"/>
            </w:tcBorders>
            <w:vAlign w:val="center"/>
          </w:tcPr>
          <w:p w:rsidR="002C1B98" w:rsidRDefault="002C1B98" w:rsidP="002C1B98">
            <w:pPr>
              <w:jc w:val="center"/>
              <w:rPr>
                <w:rFonts w:cstheme="minorHAnsi"/>
              </w:rPr>
            </w:pPr>
            <w:r>
              <w:rPr>
                <w:rFonts w:asciiTheme="minorHAnsi" w:hAnsiTheme="minorHAnsi" w:cstheme="minorHAnsi"/>
                <w:szCs w:val="22"/>
              </w:rPr>
              <w:t>-</w:t>
            </w:r>
          </w:p>
        </w:tc>
        <w:tc>
          <w:tcPr>
            <w:tcW w:w="1745" w:type="dxa"/>
            <w:tcBorders>
              <w:top w:val="single" w:sz="4" w:space="0" w:color="1F497D" w:themeColor="text2"/>
              <w:left w:val="nil"/>
              <w:bottom w:val="nil"/>
              <w:right w:val="nil"/>
            </w:tcBorders>
            <w:vAlign w:val="center"/>
          </w:tcPr>
          <w:p w:rsidR="002C1B98" w:rsidRDefault="002C1B98" w:rsidP="002C1B98">
            <w:pPr>
              <w:jc w:val="center"/>
              <w:rPr>
                <w:rFonts w:cstheme="minorHAnsi"/>
              </w:rPr>
            </w:pPr>
            <w:r>
              <w:rPr>
                <w:rFonts w:asciiTheme="minorHAnsi" w:hAnsiTheme="minorHAnsi" w:cstheme="minorHAnsi"/>
                <w:szCs w:val="22"/>
              </w:rPr>
              <w:t>1</w:t>
            </w:r>
          </w:p>
        </w:tc>
      </w:tr>
    </w:tbl>
    <w:p w:rsidR="00F50AE4" w:rsidRDefault="00F50AE4" w:rsidP="00F50AE4">
      <w:pPr>
        <w:rPr>
          <w:i/>
        </w:rPr>
      </w:pPr>
    </w:p>
    <w:p w:rsidR="002C1B98" w:rsidRDefault="002C1B98">
      <w:pPr>
        <w:rPr>
          <w:i/>
        </w:rPr>
      </w:pPr>
      <w:r>
        <w:rPr>
          <w:i/>
        </w:rPr>
        <w:br w:type="page"/>
      </w:r>
    </w:p>
    <w:p w:rsidR="00F50AE4" w:rsidRDefault="00F50AE4" w:rsidP="00F50AE4">
      <w:pPr>
        <w:rPr>
          <w:i/>
        </w:rPr>
      </w:pPr>
      <w:r>
        <w:rPr>
          <w:i/>
        </w:rPr>
        <w:t xml:space="preserve">16.  </w:t>
      </w:r>
      <w:r w:rsidR="005678EF" w:rsidRPr="005678EF">
        <w:rPr>
          <w:i/>
        </w:rPr>
        <w:t>Would it also be possible to create an alternate outage scenario based off of closing 1% of the North and West Coal and Combined Cycle units</w:t>
      </w:r>
      <w:r>
        <w:rPr>
          <w:i/>
        </w:rPr>
        <w:t>? (</w:t>
      </w:r>
      <w:proofErr w:type="spellStart"/>
      <w:r w:rsidR="005678EF">
        <w:rPr>
          <w:i/>
        </w:rPr>
        <w:t>Vistra</w:t>
      </w:r>
      <w:proofErr w:type="spellEnd"/>
      <w:r>
        <w:rPr>
          <w:i/>
        </w:rPr>
        <w:t>)</w:t>
      </w:r>
    </w:p>
    <w:p w:rsidR="00F50AE4" w:rsidRDefault="00F50AE4" w:rsidP="00F50AE4">
      <w:r>
        <w:t xml:space="preserve">A.  </w:t>
      </w:r>
      <w:r w:rsidR="005678EF" w:rsidRPr="005678EF">
        <w:t>ERCOT is able to conduct additional model simulations, but would prefer to wait until the Commission has time to consider what additional runs would be informative</w:t>
      </w:r>
      <w:r>
        <w:t>.</w:t>
      </w:r>
    </w:p>
    <w:p w:rsidR="005678EF" w:rsidRDefault="005678EF" w:rsidP="005678EF">
      <w:pPr>
        <w:rPr>
          <w:i/>
        </w:rPr>
      </w:pPr>
    </w:p>
    <w:p w:rsidR="005678EF" w:rsidRDefault="005678EF" w:rsidP="005678EF">
      <w:pPr>
        <w:rPr>
          <w:i/>
        </w:rPr>
      </w:pPr>
      <w:r>
        <w:rPr>
          <w:i/>
        </w:rPr>
        <w:t xml:space="preserve">17.  </w:t>
      </w:r>
      <w:r w:rsidRPr="00F50AE4">
        <w:rPr>
          <w:i/>
        </w:rPr>
        <w:t>How does the modeling ensure that losses for both average loss and marginal loss dispatch is accurately calculated? Is an AC power flow performed to determine actual flows from generation dispatch patterns of each case and then flows on lines for the AC power flow case used to calculate losses</w:t>
      </w:r>
      <w:r>
        <w:rPr>
          <w:i/>
        </w:rPr>
        <w:t>? (</w:t>
      </w:r>
      <w:r w:rsidRPr="00F50AE4">
        <w:rPr>
          <w:i/>
        </w:rPr>
        <w:t>Shams Siddiqi</w:t>
      </w:r>
      <w:r>
        <w:rPr>
          <w:i/>
        </w:rPr>
        <w:t>)</w:t>
      </w:r>
    </w:p>
    <w:p w:rsidR="005678EF" w:rsidRDefault="005678EF" w:rsidP="005678EF">
      <w:r>
        <w:t>A.  In completing this study, ERCOT staff relied on the software tool to provide an informative assessment of the impact of marginal loss implementation.  Although ERCOT staff spent a significant amount of time reviewing and vetting the model output across hundreds of simulation runs, the results of the study have not been verified using an independent method of calculation.</w:t>
      </w:r>
    </w:p>
    <w:p w:rsidR="00F50AE4" w:rsidRDefault="00F50AE4" w:rsidP="00F50AE4">
      <w:pPr>
        <w:rPr>
          <w:i/>
        </w:rPr>
      </w:pPr>
    </w:p>
    <w:p w:rsidR="00F50AE4" w:rsidRDefault="00F50AE4" w:rsidP="00F50AE4">
      <w:pPr>
        <w:rPr>
          <w:i/>
        </w:rPr>
      </w:pPr>
      <w:r>
        <w:rPr>
          <w:i/>
        </w:rPr>
        <w:t>1</w:t>
      </w:r>
      <w:r w:rsidR="005678EF">
        <w:rPr>
          <w:i/>
        </w:rPr>
        <w:t>8</w:t>
      </w:r>
      <w:r>
        <w:rPr>
          <w:i/>
        </w:rPr>
        <w:t xml:space="preserve">.  </w:t>
      </w:r>
      <w:r w:rsidRPr="00F50AE4">
        <w:rPr>
          <w:i/>
        </w:rPr>
        <w:t>Has ERCOT run ACOPF to determine the inaccuracies of their model in terms of dispatch, prices, and total losses? If not, is there a way for ERCOT to determine the harm done to resources if ERCOT’s method of modeling marginal losses were implemented (e.g. ERCOT’s model is likely to greatly exaggerate the marginal loss impact of electrically distant resources from the distributed load reference bus compared to ACOPF)?</w:t>
      </w:r>
      <w:r>
        <w:rPr>
          <w:i/>
        </w:rPr>
        <w:t xml:space="preserve"> (</w:t>
      </w:r>
      <w:r w:rsidRPr="00F50AE4">
        <w:rPr>
          <w:i/>
        </w:rPr>
        <w:t>Shams Siddiqi</w:t>
      </w:r>
      <w:r>
        <w:rPr>
          <w:i/>
        </w:rPr>
        <w:t>)</w:t>
      </w:r>
    </w:p>
    <w:p w:rsidR="00F87CBB" w:rsidRDefault="00F50AE4" w:rsidP="00F50AE4">
      <w:r>
        <w:t xml:space="preserve">A.  ERCOT has not conducted an AC Optimal Power Flow analysis to verify the output of the </w:t>
      </w:r>
      <w:proofErr w:type="spellStart"/>
      <w:r>
        <w:t>Uplan</w:t>
      </w:r>
      <w:proofErr w:type="spellEnd"/>
      <w:r>
        <w:t xml:space="preserve"> model. The </w:t>
      </w:r>
      <w:proofErr w:type="spellStart"/>
      <w:r>
        <w:t>Uplan</w:t>
      </w:r>
      <w:proofErr w:type="spellEnd"/>
      <w:r>
        <w:t xml:space="preserve"> model is not the tool that would be used to implement marginal losses in Security-Constrained Economic Dispatch (SCED). Validation of SCED changes can be addressed during implementation discussions in the event the Commission decides to implement marginal losses.</w:t>
      </w:r>
    </w:p>
    <w:p w:rsidR="005F69B6" w:rsidRPr="005F69B6" w:rsidRDefault="005F69B6"/>
    <w:sectPr w:rsidR="005F69B6" w:rsidRPr="005F6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B7B7A"/>
    <w:multiLevelType w:val="hybridMultilevel"/>
    <w:tmpl w:val="85FED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BF"/>
    <w:rsid w:val="00000FE2"/>
    <w:rsid w:val="000A4D5C"/>
    <w:rsid w:val="000C5305"/>
    <w:rsid w:val="000F57DE"/>
    <w:rsid w:val="001056AE"/>
    <w:rsid w:val="00153CC2"/>
    <w:rsid w:val="00161F6A"/>
    <w:rsid w:val="001714D7"/>
    <w:rsid w:val="00220D12"/>
    <w:rsid w:val="00256463"/>
    <w:rsid w:val="002C1B98"/>
    <w:rsid w:val="002F28A5"/>
    <w:rsid w:val="00365707"/>
    <w:rsid w:val="003C4B93"/>
    <w:rsid w:val="00405D7D"/>
    <w:rsid w:val="004578CC"/>
    <w:rsid w:val="00471783"/>
    <w:rsid w:val="004E4B0D"/>
    <w:rsid w:val="00552E65"/>
    <w:rsid w:val="005678EF"/>
    <w:rsid w:val="00574002"/>
    <w:rsid w:val="005B1EBC"/>
    <w:rsid w:val="005B5FA1"/>
    <w:rsid w:val="005E0682"/>
    <w:rsid w:val="005E4B76"/>
    <w:rsid w:val="005F69B6"/>
    <w:rsid w:val="00645CF1"/>
    <w:rsid w:val="006950A3"/>
    <w:rsid w:val="00750A93"/>
    <w:rsid w:val="007922B0"/>
    <w:rsid w:val="0079683F"/>
    <w:rsid w:val="007B7B6E"/>
    <w:rsid w:val="008010DC"/>
    <w:rsid w:val="008031DD"/>
    <w:rsid w:val="00813E49"/>
    <w:rsid w:val="008271B8"/>
    <w:rsid w:val="00835CA6"/>
    <w:rsid w:val="00850441"/>
    <w:rsid w:val="00864A64"/>
    <w:rsid w:val="0089582E"/>
    <w:rsid w:val="009220AC"/>
    <w:rsid w:val="009675E5"/>
    <w:rsid w:val="009B5B69"/>
    <w:rsid w:val="009E7DDF"/>
    <w:rsid w:val="00A636DB"/>
    <w:rsid w:val="00AA688E"/>
    <w:rsid w:val="00AA79CF"/>
    <w:rsid w:val="00B246BF"/>
    <w:rsid w:val="00B939E7"/>
    <w:rsid w:val="00BB522C"/>
    <w:rsid w:val="00C04730"/>
    <w:rsid w:val="00C22EEF"/>
    <w:rsid w:val="00C34069"/>
    <w:rsid w:val="00D00633"/>
    <w:rsid w:val="00D631C2"/>
    <w:rsid w:val="00D72CD0"/>
    <w:rsid w:val="00DA2F49"/>
    <w:rsid w:val="00DF2BD0"/>
    <w:rsid w:val="00E03189"/>
    <w:rsid w:val="00E4750A"/>
    <w:rsid w:val="00EE54A1"/>
    <w:rsid w:val="00F360BB"/>
    <w:rsid w:val="00F50AE4"/>
    <w:rsid w:val="00F87CBB"/>
    <w:rsid w:val="00FC3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7F268"/>
  <w15:docId w15:val="{FCFE394D-7594-416D-BC19-FD3D3381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7B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4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69"/>
    <w:rPr>
      <w:rFonts w:ascii="Segoe UI" w:hAnsi="Segoe UI" w:cs="Segoe UI"/>
      <w:sz w:val="18"/>
      <w:szCs w:val="18"/>
    </w:rPr>
  </w:style>
  <w:style w:type="character" w:styleId="CommentReference">
    <w:name w:val="annotation reference"/>
    <w:basedOn w:val="DefaultParagraphFont"/>
    <w:uiPriority w:val="99"/>
    <w:semiHidden/>
    <w:unhideWhenUsed/>
    <w:rsid w:val="00C34069"/>
    <w:rPr>
      <w:sz w:val="16"/>
      <w:szCs w:val="16"/>
    </w:rPr>
  </w:style>
  <w:style w:type="paragraph" w:styleId="CommentText">
    <w:name w:val="annotation text"/>
    <w:basedOn w:val="Normal"/>
    <w:link w:val="CommentTextChar"/>
    <w:uiPriority w:val="99"/>
    <w:semiHidden/>
    <w:unhideWhenUsed/>
    <w:rsid w:val="00C34069"/>
    <w:pPr>
      <w:spacing w:line="240" w:lineRule="auto"/>
    </w:pPr>
    <w:rPr>
      <w:sz w:val="20"/>
      <w:szCs w:val="20"/>
    </w:rPr>
  </w:style>
  <w:style w:type="character" w:customStyle="1" w:styleId="CommentTextChar">
    <w:name w:val="Comment Text Char"/>
    <w:basedOn w:val="DefaultParagraphFont"/>
    <w:link w:val="CommentText"/>
    <w:uiPriority w:val="99"/>
    <w:semiHidden/>
    <w:rsid w:val="00C34069"/>
    <w:rPr>
      <w:sz w:val="20"/>
      <w:szCs w:val="20"/>
    </w:rPr>
  </w:style>
  <w:style w:type="paragraph" w:styleId="CommentSubject">
    <w:name w:val="annotation subject"/>
    <w:basedOn w:val="CommentText"/>
    <w:next w:val="CommentText"/>
    <w:link w:val="CommentSubjectChar"/>
    <w:uiPriority w:val="99"/>
    <w:semiHidden/>
    <w:unhideWhenUsed/>
    <w:rsid w:val="00C34069"/>
    <w:rPr>
      <w:b/>
      <w:bCs/>
    </w:rPr>
  </w:style>
  <w:style w:type="character" w:customStyle="1" w:styleId="CommentSubjectChar">
    <w:name w:val="Comment Subject Char"/>
    <w:basedOn w:val="CommentTextChar"/>
    <w:link w:val="CommentSubject"/>
    <w:uiPriority w:val="99"/>
    <w:semiHidden/>
    <w:rsid w:val="00C34069"/>
    <w:rPr>
      <w:b/>
      <w:bCs/>
      <w:sz w:val="20"/>
      <w:szCs w:val="20"/>
    </w:rPr>
  </w:style>
  <w:style w:type="paragraph" w:styleId="ListParagraph">
    <w:name w:val="List Paragraph"/>
    <w:basedOn w:val="Normal"/>
    <w:uiPriority w:val="34"/>
    <w:qFormat/>
    <w:rsid w:val="00EE54A1"/>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98445">
      <w:bodyDiv w:val="1"/>
      <w:marLeft w:val="0"/>
      <w:marRight w:val="0"/>
      <w:marTop w:val="0"/>
      <w:marBottom w:val="0"/>
      <w:divBdr>
        <w:top w:val="none" w:sz="0" w:space="0" w:color="auto"/>
        <w:left w:val="none" w:sz="0" w:space="0" w:color="auto"/>
        <w:bottom w:val="none" w:sz="0" w:space="0" w:color="auto"/>
        <w:right w:val="none" w:sz="0" w:space="0" w:color="auto"/>
      </w:divBdr>
    </w:div>
    <w:div w:id="533886623">
      <w:bodyDiv w:val="1"/>
      <w:marLeft w:val="0"/>
      <w:marRight w:val="0"/>
      <w:marTop w:val="0"/>
      <w:marBottom w:val="0"/>
      <w:divBdr>
        <w:top w:val="none" w:sz="0" w:space="0" w:color="auto"/>
        <w:left w:val="none" w:sz="0" w:space="0" w:color="auto"/>
        <w:bottom w:val="none" w:sz="0" w:space="0" w:color="auto"/>
        <w:right w:val="none" w:sz="0" w:space="0" w:color="auto"/>
      </w:divBdr>
    </w:div>
    <w:div w:id="895092243">
      <w:bodyDiv w:val="1"/>
      <w:marLeft w:val="0"/>
      <w:marRight w:val="0"/>
      <w:marTop w:val="0"/>
      <w:marBottom w:val="0"/>
      <w:divBdr>
        <w:top w:val="none" w:sz="0" w:space="0" w:color="auto"/>
        <w:left w:val="none" w:sz="0" w:space="0" w:color="auto"/>
        <w:bottom w:val="none" w:sz="0" w:space="0" w:color="auto"/>
        <w:right w:val="none" w:sz="0" w:space="0" w:color="auto"/>
      </w:divBdr>
    </w:div>
    <w:div w:id="1247497438">
      <w:bodyDiv w:val="1"/>
      <w:marLeft w:val="0"/>
      <w:marRight w:val="0"/>
      <w:marTop w:val="0"/>
      <w:marBottom w:val="0"/>
      <w:divBdr>
        <w:top w:val="none" w:sz="0" w:space="0" w:color="auto"/>
        <w:left w:val="none" w:sz="0" w:space="0" w:color="auto"/>
        <w:bottom w:val="none" w:sz="0" w:space="0" w:color="auto"/>
        <w:right w:val="none" w:sz="0" w:space="0" w:color="auto"/>
      </w:divBdr>
    </w:div>
    <w:div w:id="1500923230">
      <w:bodyDiv w:val="1"/>
      <w:marLeft w:val="0"/>
      <w:marRight w:val="0"/>
      <w:marTop w:val="0"/>
      <w:marBottom w:val="0"/>
      <w:divBdr>
        <w:top w:val="none" w:sz="0" w:space="0" w:color="auto"/>
        <w:left w:val="none" w:sz="0" w:space="0" w:color="auto"/>
        <w:bottom w:val="none" w:sz="0" w:space="0" w:color="auto"/>
        <w:right w:val="none" w:sz="0" w:space="0" w:color="auto"/>
      </w:divBdr>
    </w:div>
    <w:div w:id="16965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NRG Energy</Company>
  <LinksUpToDate>false</LinksUpToDate>
  <CharactersWithSpaces>13709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Warren.Lasher@ercot.com;Hong.Xiao@ercot.com</dc:creator>
  <cp:keywords/>
  <dc:description/>
  <cp:lastModifiedBy>Lasher, Warren</cp:lastModifiedBy>
  <cp:revision>2</cp:revision>
  <dcterms:created xsi:type="dcterms:W3CDTF">2018-09-05T21:02:00Z</dcterms:created>
  <dcterms:modified xsi:type="dcterms:W3CDTF">2018-09-05T21:02:00Z</dcterms:modified>
</cp:coreProperties>
</file>