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F305F" w14:textId="77777777" w:rsidR="009220AC" w:rsidRPr="009220AC" w:rsidRDefault="009220AC">
      <w:pPr>
        <w:rPr>
          <w:b/>
          <w:u w:val="single"/>
        </w:rPr>
      </w:pPr>
      <w:r w:rsidRPr="009220AC">
        <w:rPr>
          <w:b/>
          <w:u w:val="single"/>
        </w:rPr>
        <w:t>Questions regarding ERCOT’s marginal loss study</w:t>
      </w:r>
    </w:p>
    <w:p w14:paraId="1AFF6529" w14:textId="77777777" w:rsidR="009220AC" w:rsidRPr="00161F6A" w:rsidRDefault="001714D7">
      <w:pPr>
        <w:rPr>
          <w:i/>
          <w:color w:val="FF0000"/>
        </w:rPr>
      </w:pPr>
      <w:r>
        <w:rPr>
          <w:i/>
        </w:rPr>
        <w:t>1.</w:t>
      </w:r>
      <w:r w:rsidR="007B7B6E" w:rsidRPr="00161F6A">
        <w:rPr>
          <w:i/>
        </w:rPr>
        <w:t xml:space="preserve">  </w:t>
      </w:r>
      <w:r w:rsidR="009220AC" w:rsidRPr="00161F6A">
        <w:rPr>
          <w:i/>
        </w:rPr>
        <w:t>Please provide the marginal loss surplus for each case in the study.</w:t>
      </w:r>
      <w:r>
        <w:rPr>
          <w:i/>
        </w:rPr>
        <w:t xml:space="preserve"> (NRG)</w:t>
      </w:r>
      <w:r w:rsidR="009220AC" w:rsidRPr="00161F6A">
        <w:rPr>
          <w:i/>
        </w:rPr>
        <w:t xml:space="preserve">  </w:t>
      </w:r>
    </w:p>
    <w:p w14:paraId="52D895A8" w14:textId="77777777" w:rsidR="00BB522C" w:rsidRPr="007B7B6E" w:rsidRDefault="007B7B6E">
      <w:r>
        <w:t xml:space="preserve">A.  </w:t>
      </w:r>
      <w:r w:rsidR="00BB522C" w:rsidRPr="007B7B6E">
        <w:t>The marginal loss surplus</w:t>
      </w:r>
      <w:r>
        <w:t>es</w:t>
      </w:r>
      <w:r w:rsidR="00BB522C" w:rsidRPr="007B7B6E">
        <w:t xml:space="preserve"> reported by the model for the base case and two sensitivities are</w:t>
      </w:r>
      <w:r w:rsidR="00161F6A">
        <w:t xml:space="preserve"> provided in the following table</w:t>
      </w:r>
      <w:r w:rsidR="00BB522C" w:rsidRPr="007B7B6E">
        <w:t>:</w:t>
      </w:r>
    </w:p>
    <w:p w14:paraId="59F23DF9" w14:textId="77777777" w:rsidR="00BB522C" w:rsidRDefault="00BB522C">
      <w:pPr>
        <w:rPr>
          <w:color w:val="FF0000"/>
        </w:rPr>
      </w:pPr>
    </w:p>
    <w:p w14:paraId="3D406188" w14:textId="77777777" w:rsidR="007B7B6E" w:rsidRPr="005A4BE6" w:rsidRDefault="00161F6A" w:rsidP="007B7B6E">
      <w:pPr>
        <w:widowControl w:val="0"/>
        <w:autoSpaceDE w:val="0"/>
        <w:autoSpaceDN w:val="0"/>
        <w:adjustRightInd w:val="0"/>
        <w:spacing w:line="360" w:lineRule="auto"/>
        <w:jc w:val="center"/>
        <w:rPr>
          <w:rFonts w:cstheme="minorHAnsi"/>
          <w:b/>
          <w:color w:val="000000"/>
        </w:rPr>
      </w:pPr>
      <w:r>
        <w:rPr>
          <w:rFonts w:cstheme="minorHAnsi"/>
          <w:b/>
          <w:color w:val="000000"/>
        </w:rPr>
        <w:t xml:space="preserve">Annual </w:t>
      </w:r>
      <w:r w:rsidR="007B7B6E">
        <w:rPr>
          <w:rFonts w:cstheme="minorHAnsi"/>
          <w:b/>
          <w:color w:val="000000"/>
        </w:rPr>
        <w:t>Marginal Loss Surplus</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545"/>
        <w:gridCol w:w="1872"/>
        <w:gridCol w:w="1872"/>
        <w:gridCol w:w="1872"/>
      </w:tblGrid>
      <w:tr w:rsidR="007B7B6E" w:rsidRPr="003E0171" w14:paraId="74A28AA9" w14:textId="77777777" w:rsidTr="007B7B6E">
        <w:trPr>
          <w:trHeight w:val="576"/>
          <w:jc w:val="center"/>
        </w:trPr>
        <w:tc>
          <w:tcPr>
            <w:tcW w:w="2545" w:type="dxa"/>
            <w:tcBorders>
              <w:top w:val="single" w:sz="4" w:space="0" w:color="1F497D" w:themeColor="text2"/>
              <w:left w:val="single" w:sz="4" w:space="0" w:color="1F497D" w:themeColor="text2"/>
              <w:bottom w:val="nil"/>
              <w:right w:val="nil"/>
            </w:tcBorders>
            <w:shd w:val="solid" w:color="003865" w:fill="auto"/>
            <w:vAlign w:val="center"/>
          </w:tcPr>
          <w:p w14:paraId="69EA83B5" w14:textId="77777777" w:rsidR="007B7B6E" w:rsidRPr="00BB2B40" w:rsidRDefault="007B7B6E" w:rsidP="007B7B6E">
            <w:pPr>
              <w:rPr>
                <w:rFonts w:asciiTheme="minorHAnsi" w:hAnsiTheme="minorHAnsi" w:cstheme="minorHAnsi"/>
                <w:b/>
                <w:szCs w:val="22"/>
              </w:rPr>
            </w:pPr>
          </w:p>
        </w:tc>
        <w:tc>
          <w:tcPr>
            <w:tcW w:w="1872" w:type="dxa"/>
            <w:tcBorders>
              <w:top w:val="single" w:sz="4" w:space="0" w:color="1F497D" w:themeColor="text2"/>
              <w:left w:val="nil"/>
              <w:bottom w:val="nil"/>
              <w:right w:val="nil"/>
            </w:tcBorders>
            <w:shd w:val="solid" w:color="003865" w:fill="auto"/>
            <w:vAlign w:val="center"/>
          </w:tcPr>
          <w:p w14:paraId="64CBA6C5" w14:textId="77777777" w:rsidR="007B7B6E" w:rsidRPr="00BB2B40" w:rsidRDefault="007B7B6E" w:rsidP="007B7B6E">
            <w:pPr>
              <w:jc w:val="center"/>
              <w:rPr>
                <w:rFonts w:asciiTheme="minorHAnsi" w:hAnsiTheme="minorHAnsi" w:cstheme="minorHAnsi"/>
                <w:b/>
                <w:szCs w:val="22"/>
              </w:rPr>
            </w:pPr>
            <w:r w:rsidRPr="00BB2B40">
              <w:rPr>
                <w:rFonts w:asciiTheme="minorHAnsi" w:hAnsiTheme="minorHAnsi" w:cstheme="minorHAnsi"/>
                <w:b/>
                <w:szCs w:val="22"/>
              </w:rPr>
              <w:t xml:space="preserve">Low Gas </w:t>
            </w:r>
            <w:r>
              <w:rPr>
                <w:rFonts w:asciiTheme="minorHAnsi" w:hAnsiTheme="minorHAnsi" w:cstheme="minorHAnsi"/>
                <w:b/>
                <w:szCs w:val="22"/>
              </w:rPr>
              <w:br/>
            </w:r>
            <w:r w:rsidRPr="00BB2B40">
              <w:rPr>
                <w:rFonts w:asciiTheme="minorHAnsi" w:hAnsiTheme="minorHAnsi" w:cstheme="minorHAnsi"/>
                <w:b/>
                <w:szCs w:val="22"/>
              </w:rPr>
              <w:t>Price Case</w:t>
            </w:r>
          </w:p>
        </w:tc>
        <w:tc>
          <w:tcPr>
            <w:tcW w:w="1872" w:type="dxa"/>
            <w:tcBorders>
              <w:top w:val="single" w:sz="4" w:space="0" w:color="1F497D" w:themeColor="text2"/>
              <w:left w:val="nil"/>
              <w:bottom w:val="nil"/>
              <w:right w:val="nil"/>
            </w:tcBorders>
            <w:shd w:val="solid" w:color="003865" w:fill="auto"/>
            <w:vAlign w:val="center"/>
          </w:tcPr>
          <w:p w14:paraId="73C9C29B" w14:textId="77777777" w:rsidR="007B7B6E" w:rsidRPr="00BB2B40" w:rsidRDefault="007B7B6E" w:rsidP="007B7B6E">
            <w:pPr>
              <w:jc w:val="center"/>
              <w:rPr>
                <w:rFonts w:asciiTheme="minorHAnsi" w:hAnsiTheme="minorHAnsi" w:cstheme="minorHAnsi"/>
                <w:b/>
                <w:szCs w:val="22"/>
              </w:rPr>
            </w:pPr>
            <w:r w:rsidRPr="00BB2B40">
              <w:rPr>
                <w:rFonts w:asciiTheme="minorHAnsi" w:hAnsiTheme="minorHAnsi" w:cstheme="minorHAnsi"/>
                <w:b/>
                <w:szCs w:val="22"/>
              </w:rPr>
              <w:t>Base Case</w:t>
            </w:r>
          </w:p>
        </w:tc>
        <w:tc>
          <w:tcPr>
            <w:tcW w:w="1872" w:type="dxa"/>
            <w:tcBorders>
              <w:top w:val="single" w:sz="4" w:space="0" w:color="1F497D" w:themeColor="text2"/>
              <w:left w:val="nil"/>
              <w:bottom w:val="nil"/>
              <w:right w:val="single" w:sz="4" w:space="0" w:color="1F497D" w:themeColor="text2"/>
            </w:tcBorders>
            <w:shd w:val="solid" w:color="003865" w:fill="auto"/>
            <w:vAlign w:val="center"/>
          </w:tcPr>
          <w:p w14:paraId="1E3BBBDB" w14:textId="77777777" w:rsidR="007B7B6E" w:rsidRPr="00BB2B40" w:rsidRDefault="007B7B6E" w:rsidP="007B7B6E">
            <w:pPr>
              <w:jc w:val="center"/>
              <w:rPr>
                <w:rFonts w:asciiTheme="minorHAnsi" w:hAnsiTheme="minorHAnsi" w:cstheme="minorHAnsi"/>
                <w:b/>
                <w:szCs w:val="22"/>
              </w:rPr>
            </w:pPr>
            <w:r w:rsidRPr="00BB2B40">
              <w:rPr>
                <w:rFonts w:asciiTheme="minorHAnsi" w:hAnsiTheme="minorHAnsi" w:cstheme="minorHAnsi"/>
                <w:b/>
                <w:szCs w:val="22"/>
              </w:rPr>
              <w:t xml:space="preserve">High Gas </w:t>
            </w:r>
            <w:r>
              <w:rPr>
                <w:rFonts w:asciiTheme="minorHAnsi" w:hAnsiTheme="minorHAnsi" w:cstheme="minorHAnsi"/>
                <w:b/>
                <w:szCs w:val="22"/>
              </w:rPr>
              <w:br/>
            </w:r>
            <w:r w:rsidRPr="00BB2B40">
              <w:rPr>
                <w:rFonts w:asciiTheme="minorHAnsi" w:hAnsiTheme="minorHAnsi" w:cstheme="minorHAnsi"/>
                <w:b/>
                <w:szCs w:val="22"/>
              </w:rPr>
              <w:t>Price Case</w:t>
            </w:r>
          </w:p>
        </w:tc>
      </w:tr>
      <w:tr w:rsidR="007B7B6E" w:rsidRPr="003E0171" w14:paraId="34B8EB28" w14:textId="77777777" w:rsidTr="007B7B6E">
        <w:trPr>
          <w:trHeight w:val="576"/>
          <w:jc w:val="center"/>
        </w:trPr>
        <w:tc>
          <w:tcPr>
            <w:tcW w:w="2545" w:type="dxa"/>
            <w:tcBorders>
              <w:top w:val="nil"/>
              <w:left w:val="nil"/>
              <w:bottom w:val="single" w:sz="4" w:space="0" w:color="1F497D" w:themeColor="text2"/>
              <w:right w:val="nil"/>
            </w:tcBorders>
            <w:vAlign w:val="center"/>
          </w:tcPr>
          <w:p w14:paraId="1AAE67E3" w14:textId="77777777" w:rsidR="007B7B6E" w:rsidRPr="00BB2B40" w:rsidRDefault="007B7B6E" w:rsidP="007B7B6E">
            <w:pPr>
              <w:rPr>
                <w:rFonts w:asciiTheme="minorHAnsi" w:hAnsiTheme="minorHAnsi" w:cstheme="minorHAnsi"/>
                <w:szCs w:val="22"/>
              </w:rPr>
            </w:pPr>
            <w:r>
              <w:rPr>
                <w:rFonts w:asciiTheme="minorHAnsi" w:hAnsiTheme="minorHAnsi" w:cstheme="minorHAnsi"/>
                <w:szCs w:val="22"/>
              </w:rPr>
              <w:t>Surplus Payments</w:t>
            </w:r>
            <w:r w:rsidRPr="00BB2B40">
              <w:rPr>
                <w:rFonts w:asciiTheme="minorHAnsi" w:hAnsiTheme="minorHAnsi" w:cstheme="minorHAnsi"/>
                <w:szCs w:val="22"/>
              </w:rPr>
              <w:t xml:space="preserve"> ($M)</w:t>
            </w:r>
          </w:p>
        </w:tc>
        <w:tc>
          <w:tcPr>
            <w:tcW w:w="1872" w:type="dxa"/>
            <w:tcBorders>
              <w:top w:val="nil"/>
              <w:left w:val="nil"/>
              <w:bottom w:val="single" w:sz="4" w:space="0" w:color="1F497D" w:themeColor="text2"/>
              <w:right w:val="nil"/>
            </w:tcBorders>
            <w:vAlign w:val="center"/>
          </w:tcPr>
          <w:p w14:paraId="2FD437EC" w14:textId="77777777" w:rsidR="007B7B6E" w:rsidRPr="00BB2B40" w:rsidRDefault="007B7B6E" w:rsidP="007B7B6E">
            <w:pPr>
              <w:jc w:val="center"/>
              <w:rPr>
                <w:rFonts w:asciiTheme="minorHAnsi" w:hAnsiTheme="minorHAnsi" w:cstheme="minorHAnsi"/>
                <w:szCs w:val="22"/>
              </w:rPr>
            </w:pPr>
            <w:r>
              <w:rPr>
                <w:rFonts w:asciiTheme="minorHAnsi" w:hAnsiTheme="minorHAnsi" w:cstheme="minorHAnsi"/>
                <w:szCs w:val="22"/>
              </w:rPr>
              <w:t>222.2</w:t>
            </w:r>
          </w:p>
        </w:tc>
        <w:tc>
          <w:tcPr>
            <w:tcW w:w="1872" w:type="dxa"/>
            <w:tcBorders>
              <w:top w:val="nil"/>
              <w:left w:val="nil"/>
              <w:bottom w:val="single" w:sz="4" w:space="0" w:color="1F497D" w:themeColor="text2"/>
              <w:right w:val="nil"/>
            </w:tcBorders>
            <w:vAlign w:val="center"/>
          </w:tcPr>
          <w:p w14:paraId="7B722502" w14:textId="77777777" w:rsidR="007B7B6E" w:rsidRPr="00BB2B40" w:rsidRDefault="007B7B6E" w:rsidP="007B7B6E">
            <w:pPr>
              <w:jc w:val="center"/>
              <w:rPr>
                <w:rFonts w:asciiTheme="minorHAnsi" w:hAnsiTheme="minorHAnsi" w:cstheme="minorHAnsi"/>
                <w:szCs w:val="22"/>
              </w:rPr>
            </w:pPr>
            <w:r>
              <w:rPr>
                <w:rFonts w:asciiTheme="minorHAnsi" w:hAnsiTheme="minorHAnsi" w:cstheme="minorHAnsi"/>
                <w:szCs w:val="22"/>
              </w:rPr>
              <w:t>280.5</w:t>
            </w:r>
          </w:p>
        </w:tc>
        <w:tc>
          <w:tcPr>
            <w:tcW w:w="1872" w:type="dxa"/>
            <w:tcBorders>
              <w:top w:val="nil"/>
              <w:left w:val="nil"/>
              <w:bottom w:val="single" w:sz="4" w:space="0" w:color="1F497D" w:themeColor="text2"/>
              <w:right w:val="nil"/>
            </w:tcBorders>
            <w:vAlign w:val="center"/>
          </w:tcPr>
          <w:p w14:paraId="6502BA7B" w14:textId="77777777" w:rsidR="007B7B6E" w:rsidRPr="00BB2B40" w:rsidRDefault="007B7B6E" w:rsidP="007B7B6E">
            <w:pPr>
              <w:jc w:val="center"/>
              <w:rPr>
                <w:rFonts w:asciiTheme="minorHAnsi" w:hAnsiTheme="minorHAnsi" w:cstheme="minorHAnsi"/>
                <w:szCs w:val="22"/>
              </w:rPr>
            </w:pPr>
            <w:r>
              <w:rPr>
                <w:rFonts w:asciiTheme="minorHAnsi" w:hAnsiTheme="minorHAnsi" w:cstheme="minorHAnsi"/>
                <w:szCs w:val="22"/>
              </w:rPr>
              <w:t>297.3</w:t>
            </w:r>
          </w:p>
        </w:tc>
      </w:tr>
    </w:tbl>
    <w:p w14:paraId="35223BA4" w14:textId="77777777" w:rsidR="00BB522C" w:rsidRPr="000F57DE" w:rsidRDefault="00BB522C">
      <w:pPr>
        <w:rPr>
          <w:color w:val="FF0000"/>
        </w:rPr>
      </w:pPr>
    </w:p>
    <w:p w14:paraId="7D56E1CF" w14:textId="77777777" w:rsidR="007B7B6E" w:rsidRDefault="007B7B6E"/>
    <w:p w14:paraId="0921BD3C" w14:textId="77777777" w:rsidR="007B7B6E" w:rsidRPr="00161F6A" w:rsidRDefault="001714D7">
      <w:pPr>
        <w:rPr>
          <w:i/>
        </w:rPr>
      </w:pPr>
      <w:r>
        <w:rPr>
          <w:i/>
        </w:rPr>
        <w:t>2</w:t>
      </w:r>
      <w:r w:rsidR="007B7B6E" w:rsidRPr="00161F6A">
        <w:rPr>
          <w:i/>
        </w:rPr>
        <w:t xml:space="preserve">.  </w:t>
      </w:r>
      <w:r w:rsidR="009220AC" w:rsidRPr="00161F6A">
        <w:rPr>
          <w:i/>
        </w:rPr>
        <w:t>Please confirm that the distribution of marginal loss surplus to consumers is not included in the Annual Changes in Total Consumer Costs.</w:t>
      </w:r>
      <w:r w:rsidR="000F57DE" w:rsidRPr="00161F6A">
        <w:rPr>
          <w:i/>
        </w:rPr>
        <w:t xml:space="preserve"> </w:t>
      </w:r>
      <w:r>
        <w:rPr>
          <w:i/>
        </w:rPr>
        <w:t>(NRG)</w:t>
      </w:r>
    </w:p>
    <w:p w14:paraId="6E656429" w14:textId="77777777" w:rsidR="009220AC" w:rsidRPr="00161F6A" w:rsidRDefault="007B7B6E">
      <w:r w:rsidRPr="00161F6A">
        <w:t xml:space="preserve">A.  Correct.  </w:t>
      </w:r>
      <w:r w:rsidR="000F57DE" w:rsidRPr="00161F6A">
        <w:t xml:space="preserve">The </w:t>
      </w:r>
      <w:r w:rsidRPr="00161F6A">
        <w:t>reported changes in Total Consumer C</w:t>
      </w:r>
      <w:r w:rsidR="000F57DE" w:rsidRPr="00161F6A">
        <w:t xml:space="preserve">osts are </w:t>
      </w:r>
      <w:r w:rsidRPr="00161F6A">
        <w:t xml:space="preserve">calculated by summing the hourly </w:t>
      </w:r>
      <w:r w:rsidR="000F57DE" w:rsidRPr="00161F6A">
        <w:t>Load multiplied by LMP</w:t>
      </w:r>
      <w:r w:rsidRPr="00161F6A">
        <w:t xml:space="preserve"> for each bus</w:t>
      </w:r>
      <w:r w:rsidR="000F57DE" w:rsidRPr="00161F6A">
        <w:t>.</w:t>
      </w:r>
    </w:p>
    <w:p w14:paraId="42C07008" w14:textId="77777777" w:rsidR="00161F6A" w:rsidRDefault="00161F6A" w:rsidP="00FC3784">
      <w:pPr>
        <w:rPr>
          <w:i/>
        </w:rPr>
      </w:pPr>
    </w:p>
    <w:p w14:paraId="6B96B58D" w14:textId="77777777" w:rsidR="00161F6A" w:rsidRPr="00161F6A" w:rsidRDefault="001714D7" w:rsidP="00FC3784">
      <w:pPr>
        <w:rPr>
          <w:i/>
        </w:rPr>
      </w:pPr>
      <w:r>
        <w:rPr>
          <w:i/>
        </w:rPr>
        <w:t>3</w:t>
      </w:r>
      <w:r w:rsidR="007B7B6E" w:rsidRPr="00161F6A">
        <w:rPr>
          <w:i/>
        </w:rPr>
        <w:t xml:space="preserve">.  </w:t>
      </w:r>
      <w:r w:rsidR="00FC3784" w:rsidRPr="00161F6A">
        <w:rPr>
          <w:i/>
        </w:rPr>
        <w:t>Please provide the annual reduction in system congestion costs from the marginal loss study.</w:t>
      </w:r>
      <w:r w:rsidR="000F57DE" w:rsidRPr="00161F6A">
        <w:rPr>
          <w:i/>
        </w:rPr>
        <w:t xml:space="preserve"> </w:t>
      </w:r>
      <w:r>
        <w:rPr>
          <w:i/>
        </w:rPr>
        <w:t>(NRG)</w:t>
      </w:r>
    </w:p>
    <w:p w14:paraId="0FBFC97A" w14:textId="194BA056" w:rsidR="00161F6A" w:rsidRDefault="00161F6A" w:rsidP="00FC3784">
      <w:r>
        <w:t xml:space="preserve">A.  The total system congestion costs for the six model runs are provided in the following table.  The amount of system congestion between the average loss and marginal loss cases are not directly comparable, </w:t>
      </w:r>
      <w:r w:rsidRPr="006950A3">
        <w:t>in the average loss cases the locational marginal prices (LMPs)</w:t>
      </w:r>
      <w:r>
        <w:t xml:space="preserve"> consist of two components (energy price and congestion price) whereas in the marginal loss cases</w:t>
      </w:r>
      <w:r w:rsidR="00C34069">
        <w:t>,</w:t>
      </w:r>
      <w:r>
        <w:t xml:space="preserve"> the LMPs consist of three components (energy price, congestion price and losses).</w:t>
      </w:r>
    </w:p>
    <w:p w14:paraId="4BA10C7C" w14:textId="77777777" w:rsidR="00161F6A" w:rsidRDefault="00161F6A" w:rsidP="00FC3784"/>
    <w:p w14:paraId="7C68CF9A" w14:textId="77777777" w:rsidR="00161F6A" w:rsidRPr="005A4BE6" w:rsidRDefault="00161F6A" w:rsidP="00161F6A">
      <w:pPr>
        <w:widowControl w:val="0"/>
        <w:autoSpaceDE w:val="0"/>
        <w:autoSpaceDN w:val="0"/>
        <w:adjustRightInd w:val="0"/>
        <w:spacing w:line="360" w:lineRule="auto"/>
        <w:jc w:val="center"/>
        <w:rPr>
          <w:rFonts w:cstheme="minorHAnsi"/>
          <w:b/>
          <w:color w:val="000000"/>
        </w:rPr>
      </w:pPr>
      <w:r w:rsidRPr="005A4BE6">
        <w:rPr>
          <w:rFonts w:cstheme="minorHAnsi"/>
          <w:b/>
          <w:color w:val="000000"/>
        </w:rPr>
        <w:t xml:space="preserve">Annual </w:t>
      </w:r>
      <w:r>
        <w:rPr>
          <w:rFonts w:cstheme="minorHAnsi"/>
          <w:b/>
          <w:color w:val="000000"/>
        </w:rPr>
        <w:t>System Congestion Costs</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545"/>
        <w:gridCol w:w="1872"/>
        <w:gridCol w:w="1872"/>
        <w:gridCol w:w="1872"/>
      </w:tblGrid>
      <w:tr w:rsidR="00161F6A" w:rsidRPr="003E0171" w14:paraId="5D1F4477" w14:textId="77777777" w:rsidTr="00161F6A">
        <w:trPr>
          <w:trHeight w:val="576"/>
          <w:jc w:val="center"/>
        </w:trPr>
        <w:tc>
          <w:tcPr>
            <w:tcW w:w="2545" w:type="dxa"/>
            <w:tcBorders>
              <w:top w:val="single" w:sz="4" w:space="0" w:color="1F497D" w:themeColor="text2"/>
              <w:left w:val="single" w:sz="4" w:space="0" w:color="1F497D" w:themeColor="text2"/>
              <w:bottom w:val="nil"/>
              <w:right w:val="nil"/>
            </w:tcBorders>
            <w:shd w:val="solid" w:color="003865" w:fill="auto"/>
            <w:vAlign w:val="center"/>
          </w:tcPr>
          <w:p w14:paraId="5BF14FFD" w14:textId="77777777" w:rsidR="00161F6A" w:rsidRPr="00BB2B40" w:rsidRDefault="00161F6A" w:rsidP="00161F6A">
            <w:pPr>
              <w:rPr>
                <w:rFonts w:asciiTheme="minorHAnsi" w:hAnsiTheme="minorHAnsi" w:cstheme="minorHAnsi"/>
                <w:b/>
                <w:szCs w:val="22"/>
              </w:rPr>
            </w:pPr>
          </w:p>
        </w:tc>
        <w:tc>
          <w:tcPr>
            <w:tcW w:w="1872" w:type="dxa"/>
            <w:tcBorders>
              <w:top w:val="single" w:sz="4" w:space="0" w:color="1F497D" w:themeColor="text2"/>
              <w:left w:val="nil"/>
              <w:bottom w:val="nil"/>
              <w:right w:val="nil"/>
            </w:tcBorders>
            <w:shd w:val="solid" w:color="003865" w:fill="auto"/>
            <w:vAlign w:val="center"/>
          </w:tcPr>
          <w:p w14:paraId="53967F4A" w14:textId="77777777" w:rsidR="00161F6A" w:rsidRPr="00BB2B40" w:rsidRDefault="00161F6A" w:rsidP="00161F6A">
            <w:pPr>
              <w:jc w:val="center"/>
              <w:rPr>
                <w:rFonts w:asciiTheme="minorHAnsi" w:hAnsiTheme="minorHAnsi" w:cstheme="minorHAnsi"/>
                <w:b/>
                <w:szCs w:val="22"/>
              </w:rPr>
            </w:pPr>
            <w:r w:rsidRPr="00BB2B40">
              <w:rPr>
                <w:rFonts w:asciiTheme="minorHAnsi" w:hAnsiTheme="minorHAnsi" w:cstheme="minorHAnsi"/>
                <w:b/>
                <w:szCs w:val="22"/>
              </w:rPr>
              <w:t xml:space="preserve">Low Gas </w:t>
            </w:r>
            <w:r>
              <w:rPr>
                <w:rFonts w:asciiTheme="minorHAnsi" w:hAnsiTheme="minorHAnsi" w:cstheme="minorHAnsi"/>
                <w:b/>
                <w:szCs w:val="22"/>
              </w:rPr>
              <w:br/>
            </w:r>
            <w:r w:rsidRPr="00BB2B40">
              <w:rPr>
                <w:rFonts w:asciiTheme="minorHAnsi" w:hAnsiTheme="minorHAnsi" w:cstheme="minorHAnsi"/>
                <w:b/>
                <w:szCs w:val="22"/>
              </w:rPr>
              <w:t>Price Case</w:t>
            </w:r>
          </w:p>
        </w:tc>
        <w:tc>
          <w:tcPr>
            <w:tcW w:w="1872" w:type="dxa"/>
            <w:tcBorders>
              <w:top w:val="single" w:sz="4" w:space="0" w:color="1F497D" w:themeColor="text2"/>
              <w:left w:val="nil"/>
              <w:bottom w:val="nil"/>
              <w:right w:val="nil"/>
            </w:tcBorders>
            <w:shd w:val="solid" w:color="003865" w:fill="auto"/>
            <w:vAlign w:val="center"/>
          </w:tcPr>
          <w:p w14:paraId="4F9E26AE" w14:textId="77777777" w:rsidR="00161F6A" w:rsidRPr="00BB2B40" w:rsidRDefault="00161F6A" w:rsidP="00161F6A">
            <w:pPr>
              <w:jc w:val="center"/>
              <w:rPr>
                <w:rFonts w:asciiTheme="minorHAnsi" w:hAnsiTheme="minorHAnsi" w:cstheme="minorHAnsi"/>
                <w:b/>
                <w:szCs w:val="22"/>
              </w:rPr>
            </w:pPr>
            <w:r w:rsidRPr="00BB2B40">
              <w:rPr>
                <w:rFonts w:asciiTheme="minorHAnsi" w:hAnsiTheme="minorHAnsi" w:cstheme="minorHAnsi"/>
                <w:b/>
                <w:szCs w:val="22"/>
              </w:rPr>
              <w:t>Base Case</w:t>
            </w:r>
          </w:p>
        </w:tc>
        <w:tc>
          <w:tcPr>
            <w:tcW w:w="1872" w:type="dxa"/>
            <w:tcBorders>
              <w:top w:val="single" w:sz="4" w:space="0" w:color="1F497D" w:themeColor="text2"/>
              <w:left w:val="nil"/>
              <w:bottom w:val="nil"/>
              <w:right w:val="single" w:sz="4" w:space="0" w:color="1F497D" w:themeColor="text2"/>
            </w:tcBorders>
            <w:shd w:val="solid" w:color="003865" w:fill="auto"/>
            <w:vAlign w:val="center"/>
          </w:tcPr>
          <w:p w14:paraId="013EB12A" w14:textId="77777777" w:rsidR="00161F6A" w:rsidRPr="00BB2B40" w:rsidRDefault="00161F6A" w:rsidP="00161F6A">
            <w:pPr>
              <w:jc w:val="center"/>
              <w:rPr>
                <w:rFonts w:asciiTheme="minorHAnsi" w:hAnsiTheme="minorHAnsi" w:cstheme="minorHAnsi"/>
                <w:b/>
                <w:szCs w:val="22"/>
              </w:rPr>
            </w:pPr>
            <w:r w:rsidRPr="00BB2B40">
              <w:rPr>
                <w:rFonts w:asciiTheme="minorHAnsi" w:hAnsiTheme="minorHAnsi" w:cstheme="minorHAnsi"/>
                <w:b/>
                <w:szCs w:val="22"/>
              </w:rPr>
              <w:t xml:space="preserve">High Gas </w:t>
            </w:r>
            <w:r>
              <w:rPr>
                <w:rFonts w:asciiTheme="minorHAnsi" w:hAnsiTheme="minorHAnsi" w:cstheme="minorHAnsi"/>
                <w:b/>
                <w:szCs w:val="22"/>
              </w:rPr>
              <w:br/>
            </w:r>
            <w:r w:rsidRPr="00BB2B40">
              <w:rPr>
                <w:rFonts w:asciiTheme="minorHAnsi" w:hAnsiTheme="minorHAnsi" w:cstheme="minorHAnsi"/>
                <w:b/>
                <w:szCs w:val="22"/>
              </w:rPr>
              <w:t>Price Case</w:t>
            </w:r>
          </w:p>
        </w:tc>
      </w:tr>
      <w:tr w:rsidR="00161F6A" w:rsidRPr="003E0171" w14:paraId="4E97B726" w14:textId="77777777" w:rsidTr="00161F6A">
        <w:trPr>
          <w:trHeight w:val="576"/>
          <w:jc w:val="center"/>
        </w:trPr>
        <w:tc>
          <w:tcPr>
            <w:tcW w:w="2545" w:type="dxa"/>
            <w:tcBorders>
              <w:top w:val="nil"/>
              <w:left w:val="nil"/>
              <w:bottom w:val="single" w:sz="4" w:space="0" w:color="1F497D" w:themeColor="text2"/>
              <w:right w:val="nil"/>
            </w:tcBorders>
            <w:vAlign w:val="center"/>
          </w:tcPr>
          <w:p w14:paraId="13926984" w14:textId="77777777" w:rsidR="00161F6A" w:rsidRPr="00BB2B40" w:rsidRDefault="00161F6A" w:rsidP="00161F6A">
            <w:pPr>
              <w:rPr>
                <w:rFonts w:asciiTheme="minorHAnsi" w:hAnsiTheme="minorHAnsi" w:cstheme="minorHAnsi"/>
                <w:szCs w:val="22"/>
              </w:rPr>
            </w:pPr>
            <w:r w:rsidRPr="00BB2B40">
              <w:rPr>
                <w:rFonts w:asciiTheme="minorHAnsi" w:hAnsiTheme="minorHAnsi" w:cstheme="minorHAnsi"/>
                <w:szCs w:val="22"/>
              </w:rPr>
              <w:t>Average Losses ($M)</w:t>
            </w:r>
          </w:p>
        </w:tc>
        <w:tc>
          <w:tcPr>
            <w:tcW w:w="1872" w:type="dxa"/>
            <w:tcBorders>
              <w:top w:val="nil"/>
              <w:left w:val="nil"/>
              <w:bottom w:val="single" w:sz="4" w:space="0" w:color="1F497D" w:themeColor="text2"/>
              <w:right w:val="nil"/>
            </w:tcBorders>
            <w:vAlign w:val="center"/>
          </w:tcPr>
          <w:p w14:paraId="72E6BB8D" w14:textId="77777777" w:rsidR="00161F6A" w:rsidRPr="00BB2B40" w:rsidRDefault="00161F6A" w:rsidP="00161F6A">
            <w:pPr>
              <w:jc w:val="center"/>
              <w:rPr>
                <w:rFonts w:asciiTheme="minorHAnsi" w:hAnsiTheme="minorHAnsi" w:cstheme="minorHAnsi"/>
                <w:szCs w:val="22"/>
              </w:rPr>
            </w:pPr>
            <w:r>
              <w:rPr>
                <w:rFonts w:asciiTheme="minorHAnsi" w:hAnsiTheme="minorHAnsi" w:cstheme="minorHAnsi"/>
                <w:szCs w:val="22"/>
              </w:rPr>
              <w:t>634.7</w:t>
            </w:r>
          </w:p>
        </w:tc>
        <w:tc>
          <w:tcPr>
            <w:tcW w:w="1872" w:type="dxa"/>
            <w:tcBorders>
              <w:top w:val="nil"/>
              <w:left w:val="nil"/>
              <w:bottom w:val="single" w:sz="4" w:space="0" w:color="1F497D" w:themeColor="text2"/>
              <w:right w:val="nil"/>
            </w:tcBorders>
            <w:vAlign w:val="center"/>
          </w:tcPr>
          <w:p w14:paraId="18B5FED2" w14:textId="77777777" w:rsidR="00161F6A" w:rsidRPr="00BB2B40" w:rsidRDefault="00161F6A" w:rsidP="00161F6A">
            <w:pPr>
              <w:jc w:val="center"/>
              <w:rPr>
                <w:rFonts w:asciiTheme="minorHAnsi" w:hAnsiTheme="minorHAnsi" w:cstheme="minorHAnsi"/>
                <w:szCs w:val="22"/>
              </w:rPr>
            </w:pPr>
            <w:r>
              <w:rPr>
                <w:rFonts w:asciiTheme="minorHAnsi" w:hAnsiTheme="minorHAnsi" w:cstheme="minorHAnsi"/>
                <w:szCs w:val="22"/>
              </w:rPr>
              <w:t>796</w:t>
            </w:r>
            <w:r w:rsidRPr="00BB2B40">
              <w:rPr>
                <w:rFonts w:asciiTheme="minorHAnsi" w:hAnsiTheme="minorHAnsi" w:cstheme="minorHAnsi"/>
                <w:szCs w:val="22"/>
              </w:rPr>
              <w:t>.7</w:t>
            </w:r>
          </w:p>
        </w:tc>
        <w:tc>
          <w:tcPr>
            <w:tcW w:w="1872" w:type="dxa"/>
            <w:tcBorders>
              <w:top w:val="nil"/>
              <w:left w:val="nil"/>
              <w:bottom w:val="single" w:sz="4" w:space="0" w:color="1F497D" w:themeColor="text2"/>
              <w:right w:val="nil"/>
            </w:tcBorders>
            <w:vAlign w:val="center"/>
          </w:tcPr>
          <w:p w14:paraId="18FD75AA" w14:textId="77777777" w:rsidR="00161F6A" w:rsidRPr="00BB2B40" w:rsidRDefault="00161F6A" w:rsidP="00161F6A">
            <w:pPr>
              <w:jc w:val="center"/>
              <w:rPr>
                <w:rFonts w:asciiTheme="minorHAnsi" w:hAnsiTheme="minorHAnsi" w:cstheme="minorHAnsi"/>
                <w:szCs w:val="22"/>
              </w:rPr>
            </w:pPr>
            <w:r>
              <w:rPr>
                <w:rFonts w:asciiTheme="minorHAnsi" w:hAnsiTheme="minorHAnsi" w:cstheme="minorHAnsi"/>
                <w:szCs w:val="22"/>
              </w:rPr>
              <w:t>871.5</w:t>
            </w:r>
          </w:p>
        </w:tc>
      </w:tr>
      <w:tr w:rsidR="00161F6A" w:rsidRPr="003E0171" w14:paraId="54104C4A" w14:textId="77777777" w:rsidTr="00161F6A">
        <w:trPr>
          <w:trHeight w:val="576"/>
          <w:jc w:val="center"/>
        </w:trPr>
        <w:tc>
          <w:tcPr>
            <w:tcW w:w="2545" w:type="dxa"/>
            <w:tcBorders>
              <w:top w:val="single" w:sz="4" w:space="0" w:color="1F497D" w:themeColor="text2"/>
              <w:left w:val="nil"/>
              <w:bottom w:val="nil"/>
              <w:right w:val="nil"/>
            </w:tcBorders>
            <w:vAlign w:val="center"/>
          </w:tcPr>
          <w:p w14:paraId="2D5A1615" w14:textId="77777777" w:rsidR="00161F6A" w:rsidRPr="00BB2B40" w:rsidRDefault="00161F6A" w:rsidP="00161F6A">
            <w:pPr>
              <w:rPr>
                <w:rFonts w:asciiTheme="minorHAnsi" w:hAnsiTheme="minorHAnsi" w:cstheme="minorHAnsi"/>
                <w:szCs w:val="22"/>
              </w:rPr>
            </w:pPr>
            <w:r w:rsidRPr="00BB2B40">
              <w:rPr>
                <w:rFonts w:asciiTheme="minorHAnsi" w:hAnsiTheme="minorHAnsi" w:cstheme="minorHAnsi"/>
                <w:szCs w:val="22"/>
              </w:rPr>
              <w:t>Marginal Losses ($M)</w:t>
            </w:r>
          </w:p>
        </w:tc>
        <w:tc>
          <w:tcPr>
            <w:tcW w:w="1872" w:type="dxa"/>
            <w:tcBorders>
              <w:top w:val="single" w:sz="4" w:space="0" w:color="1F497D" w:themeColor="text2"/>
              <w:left w:val="nil"/>
              <w:bottom w:val="nil"/>
              <w:right w:val="nil"/>
            </w:tcBorders>
            <w:vAlign w:val="center"/>
          </w:tcPr>
          <w:p w14:paraId="740DDEF8" w14:textId="77777777" w:rsidR="00161F6A" w:rsidRPr="00BB2B40" w:rsidRDefault="00161F6A" w:rsidP="00161F6A">
            <w:pPr>
              <w:jc w:val="center"/>
              <w:rPr>
                <w:rFonts w:asciiTheme="minorHAnsi" w:hAnsiTheme="minorHAnsi" w:cstheme="minorHAnsi"/>
                <w:szCs w:val="22"/>
              </w:rPr>
            </w:pPr>
            <w:r>
              <w:rPr>
                <w:rFonts w:asciiTheme="minorHAnsi" w:hAnsiTheme="minorHAnsi" w:cstheme="minorHAnsi"/>
                <w:szCs w:val="22"/>
              </w:rPr>
              <w:t>504.7</w:t>
            </w:r>
          </w:p>
        </w:tc>
        <w:tc>
          <w:tcPr>
            <w:tcW w:w="1872" w:type="dxa"/>
            <w:tcBorders>
              <w:top w:val="single" w:sz="4" w:space="0" w:color="1F497D" w:themeColor="text2"/>
              <w:left w:val="nil"/>
              <w:bottom w:val="nil"/>
              <w:right w:val="nil"/>
            </w:tcBorders>
            <w:vAlign w:val="center"/>
          </w:tcPr>
          <w:p w14:paraId="532FCAE6" w14:textId="77777777" w:rsidR="00161F6A" w:rsidRPr="00BB2B40" w:rsidRDefault="00161F6A" w:rsidP="00161F6A">
            <w:pPr>
              <w:jc w:val="center"/>
              <w:rPr>
                <w:rFonts w:asciiTheme="minorHAnsi" w:hAnsiTheme="minorHAnsi" w:cstheme="minorHAnsi"/>
                <w:szCs w:val="22"/>
              </w:rPr>
            </w:pPr>
            <w:r>
              <w:rPr>
                <w:rFonts w:asciiTheme="minorHAnsi" w:hAnsiTheme="minorHAnsi" w:cstheme="minorHAnsi"/>
                <w:szCs w:val="22"/>
              </w:rPr>
              <w:t>594.8</w:t>
            </w:r>
          </w:p>
        </w:tc>
        <w:tc>
          <w:tcPr>
            <w:tcW w:w="1872" w:type="dxa"/>
            <w:tcBorders>
              <w:top w:val="single" w:sz="4" w:space="0" w:color="1F497D" w:themeColor="text2"/>
              <w:left w:val="nil"/>
              <w:bottom w:val="nil"/>
              <w:right w:val="nil"/>
            </w:tcBorders>
            <w:vAlign w:val="center"/>
          </w:tcPr>
          <w:p w14:paraId="6B87CEAA" w14:textId="77777777" w:rsidR="00161F6A" w:rsidRPr="00BB2B40" w:rsidRDefault="00161F6A" w:rsidP="00161F6A">
            <w:pPr>
              <w:jc w:val="center"/>
              <w:rPr>
                <w:rFonts w:asciiTheme="minorHAnsi" w:hAnsiTheme="minorHAnsi" w:cstheme="minorHAnsi"/>
                <w:szCs w:val="22"/>
              </w:rPr>
            </w:pPr>
            <w:r>
              <w:rPr>
                <w:rFonts w:asciiTheme="minorHAnsi" w:hAnsiTheme="minorHAnsi" w:cstheme="minorHAnsi"/>
                <w:szCs w:val="22"/>
              </w:rPr>
              <w:t>629.6</w:t>
            </w:r>
          </w:p>
        </w:tc>
      </w:tr>
    </w:tbl>
    <w:p w14:paraId="104B8887" w14:textId="77777777" w:rsidR="00161F6A" w:rsidRDefault="00161F6A" w:rsidP="00FC3784"/>
    <w:p w14:paraId="3CC16E1F" w14:textId="77777777" w:rsidR="00FC3784" w:rsidRPr="000F57DE" w:rsidRDefault="00FC3784" w:rsidP="00FC3784">
      <w:pPr>
        <w:rPr>
          <w:color w:val="FF0000"/>
        </w:rPr>
      </w:pPr>
    </w:p>
    <w:p w14:paraId="63AA7540" w14:textId="77777777" w:rsidR="00864A64" w:rsidRPr="00864A64" w:rsidRDefault="001714D7">
      <w:pPr>
        <w:rPr>
          <w:i/>
        </w:rPr>
      </w:pPr>
      <w:r>
        <w:rPr>
          <w:i/>
        </w:rPr>
        <w:lastRenderedPageBreak/>
        <w:t>4</w:t>
      </w:r>
      <w:r w:rsidR="00161F6A" w:rsidRPr="00864A64">
        <w:rPr>
          <w:i/>
        </w:rPr>
        <w:t xml:space="preserve">.  </w:t>
      </w:r>
      <w:r w:rsidR="009220AC" w:rsidRPr="00864A64">
        <w:rPr>
          <w:i/>
        </w:rPr>
        <w:t>Is the Annual Generator Revenue Change from the marginal loss study compara</w:t>
      </w:r>
      <w:r w:rsidR="009B5B69" w:rsidRPr="00864A64">
        <w:rPr>
          <w:i/>
        </w:rPr>
        <w:t xml:space="preserve">ble to the Energy Cost reduction </w:t>
      </w:r>
      <w:r w:rsidR="009220AC" w:rsidRPr="00864A64">
        <w:rPr>
          <w:i/>
        </w:rPr>
        <w:t xml:space="preserve">in the RTC study?  </w:t>
      </w:r>
      <w:r w:rsidR="009B5B69" w:rsidRPr="00864A64">
        <w:rPr>
          <w:i/>
        </w:rPr>
        <w:t>If not, please provide a comparable Energy Cost reduction for the marginal loss study</w:t>
      </w:r>
      <w:r w:rsidR="00FC3784" w:rsidRPr="00864A64">
        <w:rPr>
          <w:i/>
        </w:rPr>
        <w:t xml:space="preserve"> for the system and by zone</w:t>
      </w:r>
      <w:r w:rsidR="009B5B69" w:rsidRPr="00864A64">
        <w:rPr>
          <w:i/>
        </w:rPr>
        <w:t>.</w:t>
      </w:r>
      <w:r w:rsidR="000F57DE" w:rsidRPr="00864A64">
        <w:rPr>
          <w:i/>
        </w:rPr>
        <w:t xml:space="preserve"> </w:t>
      </w:r>
      <w:r>
        <w:rPr>
          <w:i/>
        </w:rPr>
        <w:t>(NRG)</w:t>
      </w:r>
    </w:p>
    <w:p w14:paraId="1D60F7DC" w14:textId="55C3A095" w:rsidR="009220AC" w:rsidRDefault="00C34069">
      <w:r>
        <w:t xml:space="preserve">A. </w:t>
      </w:r>
      <w:r w:rsidR="00C22EEF" w:rsidRPr="00C22EEF">
        <w:t>The Annual Generator Revenue Change from the marginal loss study is not comparable to the Energy Cost reduction in the RTC study.  The Annual Generator Revenue dat</w:t>
      </w:r>
      <w:r w:rsidR="00850441">
        <w:t>a from the marginal loss study wa</w:t>
      </w:r>
      <w:r w:rsidR="00C22EEF" w:rsidRPr="00C22EEF">
        <w:t xml:space="preserve">s calculated by multiplying the hourly output of each generator by the LMP at each generator bus by hour and then summing all 8,760 hours in the annual simulation.  The Energy Cost reduction in the IMM RTC study was calculated by multiplying the system lambda by the hourly generation and then summing </w:t>
      </w:r>
      <w:r w:rsidR="00850441">
        <w:t>across the intervals included in the back-cast analysis.</w:t>
      </w:r>
    </w:p>
    <w:p w14:paraId="2C118412" w14:textId="73EEF16C" w:rsidR="00850441" w:rsidRPr="00C22EEF" w:rsidRDefault="001056AE">
      <w:r>
        <w:t>As the Uplan model provides LMPs for all generat</w:t>
      </w:r>
      <w:r w:rsidR="005B1EBC">
        <w:t>ion and load buses for each hour, the aggregated data from the model output is based on hourly summation by location, rather than calculating a system average and then multiplying that by hourly generation.</w:t>
      </w:r>
    </w:p>
    <w:p w14:paraId="37047584" w14:textId="77777777" w:rsidR="00864A64" w:rsidRDefault="00864A64"/>
    <w:p w14:paraId="411D0DAA" w14:textId="77777777" w:rsidR="009220AC" w:rsidRDefault="001714D7">
      <w:pPr>
        <w:rPr>
          <w:color w:val="FF0000"/>
        </w:rPr>
      </w:pPr>
      <w:r>
        <w:rPr>
          <w:i/>
        </w:rPr>
        <w:t>5</w:t>
      </w:r>
      <w:r w:rsidR="00864A64" w:rsidRPr="00864A64">
        <w:rPr>
          <w:i/>
        </w:rPr>
        <w:t xml:space="preserve">.  </w:t>
      </w:r>
      <w:r w:rsidR="009220AC" w:rsidRPr="00864A64">
        <w:rPr>
          <w:i/>
        </w:rPr>
        <w:t xml:space="preserve">Please provide the total amount of installed wind and solar used for each case in the study. </w:t>
      </w:r>
      <w:r>
        <w:rPr>
          <w:i/>
        </w:rPr>
        <w:t>(NRG)</w:t>
      </w:r>
      <w:r w:rsidR="009220AC" w:rsidRPr="00864A64">
        <w:rPr>
          <w:i/>
        </w:rPr>
        <w:t xml:space="preserve"> </w:t>
      </w:r>
    </w:p>
    <w:p w14:paraId="12A1FBE4" w14:textId="30B0B34C" w:rsidR="00DF2BD0" w:rsidRPr="00DF2BD0" w:rsidRDefault="00DF2BD0" w:rsidP="00DF2BD0">
      <w:pPr>
        <w:rPr>
          <w:rFonts w:eastAsia="Times New Roman" w:cs="Times New Roman"/>
        </w:rPr>
      </w:pPr>
      <w:r w:rsidRPr="00DF2BD0">
        <w:t xml:space="preserve">A.  The amounts of wind and solar capacity were consistent across all model runs.  </w:t>
      </w:r>
      <w:r w:rsidRPr="00DF2BD0">
        <w:rPr>
          <w:rFonts w:ascii="Calibri" w:eastAsia="Times New Roman" w:hAnsi="Calibri" w:cs="Times New Roman"/>
        </w:rPr>
        <w:t>The cases included a total of 2.3 GW of installed solar capacity and 25.6 GW of installed wind capacity.</w:t>
      </w:r>
    </w:p>
    <w:p w14:paraId="6B491817" w14:textId="77777777" w:rsidR="00864A64" w:rsidRDefault="00864A64"/>
    <w:p w14:paraId="6E2E2862" w14:textId="77777777" w:rsidR="00864A64" w:rsidRDefault="001714D7">
      <w:pPr>
        <w:rPr>
          <w:i/>
        </w:rPr>
      </w:pPr>
      <w:r>
        <w:rPr>
          <w:i/>
        </w:rPr>
        <w:t>6</w:t>
      </w:r>
      <w:r w:rsidR="00864A64" w:rsidRPr="00864A64">
        <w:rPr>
          <w:i/>
        </w:rPr>
        <w:t xml:space="preserve">.  </w:t>
      </w:r>
      <w:r w:rsidR="009220AC" w:rsidRPr="00864A64">
        <w:rPr>
          <w:i/>
        </w:rPr>
        <w:t>Please provide the total energy by zone used for each case in the study.</w:t>
      </w:r>
      <w:r w:rsidR="000F57DE" w:rsidRPr="00864A64">
        <w:rPr>
          <w:i/>
        </w:rPr>
        <w:t xml:space="preserve"> </w:t>
      </w:r>
      <w:r>
        <w:rPr>
          <w:i/>
        </w:rPr>
        <w:t>(NRG)</w:t>
      </w:r>
    </w:p>
    <w:p w14:paraId="7BD02585" w14:textId="05DB3637" w:rsidR="00365707" w:rsidRDefault="005F69B6">
      <w:r w:rsidRPr="005F69B6">
        <w:t>A.  The total annual amounts energy used by consumers by zone were consistent across all model runs</w:t>
      </w:r>
      <w:r w:rsidR="000F57DE" w:rsidRPr="005F69B6">
        <w:t>.</w:t>
      </w:r>
      <w:r>
        <w:t xml:space="preserve">  The totals are provided in the following table.</w:t>
      </w:r>
    </w:p>
    <w:p w14:paraId="7B3C4B23" w14:textId="77777777" w:rsidR="005F69B6" w:rsidRDefault="005F69B6"/>
    <w:p w14:paraId="531B663D" w14:textId="77777777" w:rsidR="005F69B6" w:rsidRPr="005A4BE6" w:rsidRDefault="005F69B6" w:rsidP="005F69B6">
      <w:pPr>
        <w:widowControl w:val="0"/>
        <w:autoSpaceDE w:val="0"/>
        <w:autoSpaceDN w:val="0"/>
        <w:adjustRightInd w:val="0"/>
        <w:spacing w:line="360" w:lineRule="auto"/>
        <w:jc w:val="center"/>
        <w:rPr>
          <w:rFonts w:cstheme="minorHAnsi"/>
          <w:b/>
          <w:color w:val="000000"/>
        </w:rPr>
      </w:pPr>
      <w:r w:rsidRPr="005A4BE6">
        <w:rPr>
          <w:rFonts w:cstheme="minorHAnsi"/>
          <w:b/>
          <w:color w:val="000000"/>
        </w:rPr>
        <w:t xml:space="preserve">Annual </w:t>
      </w:r>
      <w:r>
        <w:rPr>
          <w:rFonts w:cstheme="minorHAnsi"/>
          <w:b/>
          <w:color w:val="000000"/>
        </w:rPr>
        <w:t>Customer Energy Demand by Zone</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545"/>
        <w:gridCol w:w="1872"/>
      </w:tblGrid>
      <w:tr w:rsidR="005F69B6" w:rsidRPr="003E0171" w14:paraId="18DAB302" w14:textId="77777777" w:rsidTr="005F69B6">
        <w:trPr>
          <w:trHeight w:val="576"/>
          <w:jc w:val="center"/>
        </w:trPr>
        <w:tc>
          <w:tcPr>
            <w:tcW w:w="2545" w:type="dxa"/>
            <w:tcBorders>
              <w:top w:val="single" w:sz="4" w:space="0" w:color="1F497D" w:themeColor="text2"/>
              <w:left w:val="single" w:sz="4" w:space="0" w:color="1F497D" w:themeColor="text2"/>
              <w:bottom w:val="nil"/>
              <w:right w:val="nil"/>
            </w:tcBorders>
            <w:shd w:val="solid" w:color="003865" w:fill="auto"/>
            <w:vAlign w:val="center"/>
          </w:tcPr>
          <w:p w14:paraId="5D2E1AFC" w14:textId="77777777" w:rsidR="005F69B6" w:rsidRPr="00BB2B40" w:rsidRDefault="005F69B6" w:rsidP="005F69B6">
            <w:pPr>
              <w:rPr>
                <w:rFonts w:asciiTheme="minorHAnsi" w:hAnsiTheme="minorHAnsi" w:cstheme="minorHAnsi"/>
                <w:b/>
                <w:szCs w:val="22"/>
              </w:rPr>
            </w:pPr>
          </w:p>
        </w:tc>
        <w:tc>
          <w:tcPr>
            <w:tcW w:w="1872" w:type="dxa"/>
            <w:tcBorders>
              <w:top w:val="single" w:sz="4" w:space="0" w:color="1F497D" w:themeColor="text2"/>
              <w:left w:val="nil"/>
              <w:bottom w:val="nil"/>
              <w:right w:val="nil"/>
            </w:tcBorders>
            <w:shd w:val="solid" w:color="003865" w:fill="auto"/>
            <w:vAlign w:val="center"/>
          </w:tcPr>
          <w:p w14:paraId="4CCE13CE" w14:textId="77777777" w:rsidR="005F69B6" w:rsidRPr="00BB2B40" w:rsidRDefault="005F69B6" w:rsidP="005F69B6">
            <w:pPr>
              <w:jc w:val="center"/>
              <w:rPr>
                <w:rFonts w:asciiTheme="minorHAnsi" w:hAnsiTheme="minorHAnsi" w:cstheme="minorHAnsi"/>
                <w:b/>
                <w:szCs w:val="22"/>
              </w:rPr>
            </w:pPr>
            <w:r>
              <w:rPr>
                <w:rFonts w:asciiTheme="minorHAnsi" w:hAnsiTheme="minorHAnsi" w:cstheme="minorHAnsi"/>
                <w:b/>
                <w:szCs w:val="22"/>
              </w:rPr>
              <w:t>Demand (GWh)</w:t>
            </w:r>
          </w:p>
        </w:tc>
      </w:tr>
      <w:tr w:rsidR="005F69B6" w:rsidRPr="003E0171" w14:paraId="29B1564B" w14:textId="77777777" w:rsidTr="005F69B6">
        <w:trPr>
          <w:trHeight w:val="576"/>
          <w:jc w:val="center"/>
        </w:trPr>
        <w:tc>
          <w:tcPr>
            <w:tcW w:w="2545" w:type="dxa"/>
            <w:tcBorders>
              <w:top w:val="nil"/>
              <w:left w:val="nil"/>
              <w:bottom w:val="single" w:sz="4" w:space="0" w:color="1F497D" w:themeColor="text2"/>
              <w:right w:val="nil"/>
            </w:tcBorders>
            <w:vAlign w:val="center"/>
          </w:tcPr>
          <w:p w14:paraId="19122028" w14:textId="77777777" w:rsidR="005F69B6" w:rsidRPr="005F69B6" w:rsidRDefault="005F69B6" w:rsidP="005F69B6">
            <w:pPr>
              <w:rPr>
                <w:rFonts w:asciiTheme="minorHAnsi" w:hAnsiTheme="minorHAnsi" w:cstheme="minorHAnsi"/>
                <w:szCs w:val="22"/>
              </w:rPr>
            </w:pPr>
            <w:r w:rsidRPr="005F69B6">
              <w:rPr>
                <w:rFonts w:asciiTheme="minorHAnsi" w:hAnsiTheme="minorHAnsi" w:cstheme="minorHAnsi"/>
                <w:szCs w:val="22"/>
              </w:rPr>
              <w:t>Houston Zone</w:t>
            </w:r>
          </w:p>
        </w:tc>
        <w:tc>
          <w:tcPr>
            <w:tcW w:w="1872" w:type="dxa"/>
            <w:tcBorders>
              <w:top w:val="nil"/>
              <w:left w:val="nil"/>
              <w:bottom w:val="single" w:sz="4" w:space="0" w:color="1F497D" w:themeColor="text2"/>
              <w:right w:val="nil"/>
            </w:tcBorders>
            <w:vAlign w:val="center"/>
          </w:tcPr>
          <w:p w14:paraId="67685C7F" w14:textId="77777777" w:rsidR="005F69B6" w:rsidRPr="005F69B6" w:rsidRDefault="005F69B6" w:rsidP="005F69B6">
            <w:pPr>
              <w:jc w:val="center"/>
              <w:rPr>
                <w:rFonts w:asciiTheme="minorHAnsi" w:hAnsiTheme="minorHAnsi" w:cstheme="minorHAnsi"/>
                <w:szCs w:val="22"/>
              </w:rPr>
            </w:pPr>
            <w:r>
              <w:rPr>
                <w:rFonts w:asciiTheme="minorHAnsi" w:hAnsiTheme="minorHAnsi" w:cstheme="minorHAnsi"/>
                <w:szCs w:val="22"/>
              </w:rPr>
              <w:t>141,892.5</w:t>
            </w:r>
          </w:p>
        </w:tc>
      </w:tr>
      <w:tr w:rsidR="005F69B6" w:rsidRPr="003E0171" w14:paraId="16B3D7FE" w14:textId="77777777" w:rsidTr="005F69B6">
        <w:trPr>
          <w:trHeight w:val="576"/>
          <w:jc w:val="center"/>
        </w:trPr>
        <w:tc>
          <w:tcPr>
            <w:tcW w:w="2545" w:type="dxa"/>
            <w:tcBorders>
              <w:top w:val="single" w:sz="4" w:space="0" w:color="1F497D" w:themeColor="text2"/>
              <w:left w:val="nil"/>
              <w:bottom w:val="single" w:sz="4" w:space="0" w:color="1F497D" w:themeColor="text2"/>
              <w:right w:val="nil"/>
            </w:tcBorders>
            <w:vAlign w:val="center"/>
          </w:tcPr>
          <w:p w14:paraId="13485324" w14:textId="77777777" w:rsidR="005F69B6" w:rsidRPr="005F69B6" w:rsidRDefault="005F69B6" w:rsidP="005F69B6">
            <w:pPr>
              <w:rPr>
                <w:rFonts w:asciiTheme="minorHAnsi" w:hAnsiTheme="minorHAnsi" w:cstheme="minorHAnsi"/>
                <w:szCs w:val="22"/>
              </w:rPr>
            </w:pPr>
            <w:r w:rsidRPr="005F69B6">
              <w:rPr>
                <w:rFonts w:asciiTheme="minorHAnsi" w:hAnsiTheme="minorHAnsi" w:cstheme="minorHAnsi"/>
                <w:szCs w:val="22"/>
              </w:rPr>
              <w:t>North Zone</w:t>
            </w:r>
          </w:p>
        </w:tc>
        <w:tc>
          <w:tcPr>
            <w:tcW w:w="1872" w:type="dxa"/>
            <w:tcBorders>
              <w:top w:val="single" w:sz="4" w:space="0" w:color="1F497D" w:themeColor="text2"/>
              <w:left w:val="nil"/>
              <w:bottom w:val="single" w:sz="4" w:space="0" w:color="1F497D" w:themeColor="text2"/>
              <w:right w:val="nil"/>
            </w:tcBorders>
            <w:vAlign w:val="center"/>
          </w:tcPr>
          <w:p w14:paraId="58AA4206" w14:textId="77777777" w:rsidR="005F69B6" w:rsidRPr="005F69B6" w:rsidRDefault="005F69B6" w:rsidP="005F69B6">
            <w:pPr>
              <w:jc w:val="center"/>
              <w:rPr>
                <w:rFonts w:asciiTheme="minorHAnsi" w:hAnsiTheme="minorHAnsi" w:cstheme="minorHAnsi"/>
                <w:szCs w:val="22"/>
              </w:rPr>
            </w:pPr>
            <w:r>
              <w:rPr>
                <w:rFonts w:asciiTheme="minorHAnsi" w:hAnsiTheme="minorHAnsi" w:cstheme="minorHAnsi"/>
                <w:szCs w:val="22"/>
              </w:rPr>
              <w:t>131,344.3</w:t>
            </w:r>
          </w:p>
        </w:tc>
      </w:tr>
      <w:tr w:rsidR="005F69B6" w:rsidRPr="003E0171" w14:paraId="666016CD" w14:textId="77777777" w:rsidTr="005F69B6">
        <w:trPr>
          <w:trHeight w:val="576"/>
          <w:jc w:val="center"/>
        </w:trPr>
        <w:tc>
          <w:tcPr>
            <w:tcW w:w="2545" w:type="dxa"/>
            <w:tcBorders>
              <w:top w:val="single" w:sz="4" w:space="0" w:color="1F497D" w:themeColor="text2"/>
              <w:left w:val="nil"/>
              <w:bottom w:val="single" w:sz="4" w:space="0" w:color="1F497D" w:themeColor="text2"/>
              <w:right w:val="nil"/>
            </w:tcBorders>
            <w:vAlign w:val="center"/>
          </w:tcPr>
          <w:p w14:paraId="0C71EFC3" w14:textId="77777777" w:rsidR="005F69B6" w:rsidRPr="005F69B6" w:rsidRDefault="005F69B6" w:rsidP="005F69B6">
            <w:pPr>
              <w:rPr>
                <w:rFonts w:asciiTheme="minorHAnsi" w:hAnsiTheme="minorHAnsi" w:cstheme="minorHAnsi"/>
              </w:rPr>
            </w:pPr>
            <w:r w:rsidRPr="005F69B6">
              <w:rPr>
                <w:rFonts w:asciiTheme="minorHAnsi" w:hAnsiTheme="minorHAnsi" w:cstheme="minorHAnsi"/>
              </w:rPr>
              <w:t>South Zone</w:t>
            </w:r>
          </w:p>
        </w:tc>
        <w:tc>
          <w:tcPr>
            <w:tcW w:w="1872" w:type="dxa"/>
            <w:tcBorders>
              <w:top w:val="single" w:sz="4" w:space="0" w:color="1F497D" w:themeColor="text2"/>
              <w:left w:val="nil"/>
              <w:bottom w:val="single" w:sz="4" w:space="0" w:color="1F497D" w:themeColor="text2"/>
              <w:right w:val="nil"/>
            </w:tcBorders>
            <w:vAlign w:val="center"/>
          </w:tcPr>
          <w:p w14:paraId="0A07C012" w14:textId="77777777" w:rsidR="005F69B6" w:rsidRPr="005F69B6" w:rsidRDefault="005F69B6" w:rsidP="005F69B6">
            <w:pPr>
              <w:jc w:val="center"/>
              <w:rPr>
                <w:rFonts w:asciiTheme="minorHAnsi" w:hAnsiTheme="minorHAnsi" w:cstheme="minorHAnsi"/>
              </w:rPr>
            </w:pPr>
            <w:r>
              <w:rPr>
                <w:rFonts w:asciiTheme="minorHAnsi" w:hAnsiTheme="minorHAnsi" w:cstheme="minorHAnsi"/>
              </w:rPr>
              <w:t>111,264.6</w:t>
            </w:r>
          </w:p>
        </w:tc>
      </w:tr>
      <w:tr w:rsidR="005F69B6" w:rsidRPr="003E0171" w14:paraId="5B898084" w14:textId="77777777" w:rsidTr="005F69B6">
        <w:trPr>
          <w:trHeight w:val="576"/>
          <w:jc w:val="center"/>
        </w:trPr>
        <w:tc>
          <w:tcPr>
            <w:tcW w:w="2545" w:type="dxa"/>
            <w:tcBorders>
              <w:top w:val="single" w:sz="4" w:space="0" w:color="1F497D" w:themeColor="text2"/>
              <w:left w:val="nil"/>
              <w:bottom w:val="nil"/>
              <w:right w:val="nil"/>
            </w:tcBorders>
            <w:vAlign w:val="center"/>
          </w:tcPr>
          <w:p w14:paraId="0F57B362" w14:textId="77777777" w:rsidR="005F69B6" w:rsidRPr="005F69B6" w:rsidRDefault="005F69B6" w:rsidP="005F69B6">
            <w:pPr>
              <w:rPr>
                <w:rFonts w:asciiTheme="minorHAnsi" w:hAnsiTheme="minorHAnsi" w:cstheme="minorHAnsi"/>
              </w:rPr>
            </w:pPr>
            <w:r w:rsidRPr="005F69B6">
              <w:rPr>
                <w:rFonts w:asciiTheme="minorHAnsi" w:hAnsiTheme="minorHAnsi" w:cstheme="minorHAnsi"/>
              </w:rPr>
              <w:lastRenderedPageBreak/>
              <w:t>West Zone</w:t>
            </w:r>
          </w:p>
        </w:tc>
        <w:tc>
          <w:tcPr>
            <w:tcW w:w="1872" w:type="dxa"/>
            <w:tcBorders>
              <w:top w:val="single" w:sz="4" w:space="0" w:color="1F497D" w:themeColor="text2"/>
              <w:left w:val="nil"/>
              <w:bottom w:val="nil"/>
              <w:right w:val="nil"/>
            </w:tcBorders>
            <w:vAlign w:val="center"/>
          </w:tcPr>
          <w:p w14:paraId="32896236" w14:textId="77777777" w:rsidR="005F69B6" w:rsidRPr="005F69B6" w:rsidRDefault="005F69B6" w:rsidP="005F69B6">
            <w:pPr>
              <w:jc w:val="center"/>
              <w:rPr>
                <w:rFonts w:asciiTheme="minorHAnsi" w:hAnsiTheme="minorHAnsi" w:cstheme="minorHAnsi"/>
              </w:rPr>
            </w:pPr>
            <w:r>
              <w:rPr>
                <w:rFonts w:asciiTheme="minorHAnsi" w:hAnsiTheme="minorHAnsi" w:cstheme="minorHAnsi"/>
              </w:rPr>
              <w:t>33,517.9</w:t>
            </w:r>
          </w:p>
        </w:tc>
      </w:tr>
    </w:tbl>
    <w:p w14:paraId="45142C0F" w14:textId="77777777" w:rsidR="005F69B6" w:rsidRDefault="005F69B6" w:rsidP="005F69B6"/>
    <w:p w14:paraId="31EB08B4" w14:textId="77777777" w:rsidR="00864A64" w:rsidRPr="005F69B6" w:rsidRDefault="00864A64"/>
    <w:p w14:paraId="20B99F49" w14:textId="45BB9A05" w:rsidR="00864A64" w:rsidRDefault="001714D7">
      <w:r>
        <w:rPr>
          <w:i/>
        </w:rPr>
        <w:t>7</w:t>
      </w:r>
      <w:r w:rsidR="00864A64" w:rsidRPr="00864A64">
        <w:rPr>
          <w:i/>
        </w:rPr>
        <w:t xml:space="preserve">.  </w:t>
      </w:r>
      <w:r w:rsidR="009B5B69" w:rsidRPr="00864A64">
        <w:rPr>
          <w:i/>
        </w:rPr>
        <w:t>Please provide the annual load</w:t>
      </w:r>
      <w:r w:rsidR="00C34069">
        <w:rPr>
          <w:i/>
        </w:rPr>
        <w:t>-</w:t>
      </w:r>
      <w:r w:rsidR="009B5B69" w:rsidRPr="00864A64">
        <w:rPr>
          <w:i/>
        </w:rPr>
        <w:t>weighted average energy price from the marginal loss study.</w:t>
      </w:r>
      <w:r w:rsidR="000F57DE">
        <w:t xml:space="preserve"> </w:t>
      </w:r>
      <w:r>
        <w:t>(NRG)</w:t>
      </w:r>
    </w:p>
    <w:p w14:paraId="0C206859" w14:textId="77777777" w:rsidR="00471783" w:rsidRPr="00471783" w:rsidRDefault="00C34069">
      <w:r>
        <w:t xml:space="preserve">A. </w:t>
      </w:r>
      <w:r w:rsidR="00471783" w:rsidRPr="00471783">
        <w:t xml:space="preserve">The annual load-weighted </w:t>
      </w:r>
      <w:r w:rsidR="00471783">
        <w:t xml:space="preserve">average </w:t>
      </w:r>
      <w:r w:rsidR="00471783" w:rsidRPr="00471783">
        <w:t>LMPs for each model run are provided in the following table.</w:t>
      </w:r>
    </w:p>
    <w:p w14:paraId="524FD3FB" w14:textId="77777777" w:rsidR="00471783" w:rsidRPr="005A4BE6" w:rsidRDefault="00471783" w:rsidP="00471783">
      <w:pPr>
        <w:widowControl w:val="0"/>
        <w:autoSpaceDE w:val="0"/>
        <w:autoSpaceDN w:val="0"/>
        <w:adjustRightInd w:val="0"/>
        <w:spacing w:line="360" w:lineRule="auto"/>
        <w:jc w:val="center"/>
        <w:rPr>
          <w:rFonts w:cstheme="minorHAnsi"/>
          <w:b/>
          <w:color w:val="000000"/>
        </w:rPr>
      </w:pPr>
      <w:r w:rsidRPr="005A4BE6">
        <w:rPr>
          <w:rFonts w:cstheme="minorHAnsi"/>
          <w:b/>
          <w:color w:val="000000"/>
        </w:rPr>
        <w:t xml:space="preserve">Annual </w:t>
      </w:r>
      <w:r>
        <w:rPr>
          <w:rFonts w:cstheme="minorHAnsi"/>
          <w:b/>
          <w:color w:val="000000"/>
        </w:rPr>
        <w:t>Load-Weighted LMPs</w:t>
      </w:r>
    </w:p>
    <w:tbl>
      <w:tblPr>
        <w:tblStyle w:val="TableGrid"/>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545"/>
        <w:gridCol w:w="1872"/>
        <w:gridCol w:w="1872"/>
        <w:gridCol w:w="1872"/>
      </w:tblGrid>
      <w:tr w:rsidR="00471783" w:rsidRPr="003E0171" w14:paraId="0C9FA9CD" w14:textId="77777777" w:rsidTr="00AB0A22">
        <w:trPr>
          <w:trHeight w:val="576"/>
          <w:jc w:val="center"/>
        </w:trPr>
        <w:tc>
          <w:tcPr>
            <w:tcW w:w="2545" w:type="dxa"/>
            <w:tcBorders>
              <w:top w:val="single" w:sz="4" w:space="0" w:color="1F497D" w:themeColor="text2"/>
              <w:left w:val="single" w:sz="4" w:space="0" w:color="1F497D" w:themeColor="text2"/>
              <w:bottom w:val="nil"/>
              <w:right w:val="nil"/>
            </w:tcBorders>
            <w:shd w:val="solid" w:color="003865" w:fill="auto"/>
            <w:vAlign w:val="center"/>
          </w:tcPr>
          <w:p w14:paraId="5B84201F" w14:textId="77777777" w:rsidR="00471783" w:rsidRPr="00BB2B40" w:rsidRDefault="00471783" w:rsidP="00AB0A22">
            <w:pPr>
              <w:rPr>
                <w:rFonts w:asciiTheme="minorHAnsi" w:hAnsiTheme="minorHAnsi" w:cstheme="minorHAnsi"/>
                <w:b/>
                <w:szCs w:val="22"/>
              </w:rPr>
            </w:pPr>
          </w:p>
        </w:tc>
        <w:tc>
          <w:tcPr>
            <w:tcW w:w="1872" w:type="dxa"/>
            <w:tcBorders>
              <w:top w:val="single" w:sz="4" w:space="0" w:color="1F497D" w:themeColor="text2"/>
              <w:left w:val="nil"/>
              <w:bottom w:val="nil"/>
              <w:right w:val="nil"/>
            </w:tcBorders>
            <w:shd w:val="solid" w:color="003865" w:fill="auto"/>
            <w:vAlign w:val="center"/>
          </w:tcPr>
          <w:p w14:paraId="76D11A3A" w14:textId="77777777" w:rsidR="00471783" w:rsidRPr="00BB2B40" w:rsidRDefault="00471783" w:rsidP="00AB0A22">
            <w:pPr>
              <w:jc w:val="center"/>
              <w:rPr>
                <w:rFonts w:asciiTheme="minorHAnsi" w:hAnsiTheme="minorHAnsi" w:cstheme="minorHAnsi"/>
                <w:b/>
                <w:szCs w:val="22"/>
              </w:rPr>
            </w:pPr>
            <w:r w:rsidRPr="00BB2B40">
              <w:rPr>
                <w:rFonts w:asciiTheme="minorHAnsi" w:hAnsiTheme="minorHAnsi" w:cstheme="minorHAnsi"/>
                <w:b/>
                <w:szCs w:val="22"/>
              </w:rPr>
              <w:t xml:space="preserve">Low Gas </w:t>
            </w:r>
            <w:r>
              <w:rPr>
                <w:rFonts w:asciiTheme="minorHAnsi" w:hAnsiTheme="minorHAnsi" w:cstheme="minorHAnsi"/>
                <w:b/>
                <w:szCs w:val="22"/>
              </w:rPr>
              <w:br/>
            </w:r>
            <w:r w:rsidRPr="00BB2B40">
              <w:rPr>
                <w:rFonts w:asciiTheme="minorHAnsi" w:hAnsiTheme="minorHAnsi" w:cstheme="minorHAnsi"/>
                <w:b/>
                <w:szCs w:val="22"/>
              </w:rPr>
              <w:t>Price Case</w:t>
            </w:r>
          </w:p>
        </w:tc>
        <w:tc>
          <w:tcPr>
            <w:tcW w:w="1872" w:type="dxa"/>
            <w:tcBorders>
              <w:top w:val="single" w:sz="4" w:space="0" w:color="1F497D" w:themeColor="text2"/>
              <w:left w:val="nil"/>
              <w:bottom w:val="nil"/>
              <w:right w:val="nil"/>
            </w:tcBorders>
            <w:shd w:val="solid" w:color="003865" w:fill="auto"/>
            <w:vAlign w:val="center"/>
          </w:tcPr>
          <w:p w14:paraId="4EE82286" w14:textId="77777777" w:rsidR="00471783" w:rsidRPr="00BB2B40" w:rsidRDefault="00471783" w:rsidP="00AB0A22">
            <w:pPr>
              <w:jc w:val="center"/>
              <w:rPr>
                <w:rFonts w:asciiTheme="minorHAnsi" w:hAnsiTheme="minorHAnsi" w:cstheme="minorHAnsi"/>
                <w:b/>
                <w:szCs w:val="22"/>
              </w:rPr>
            </w:pPr>
            <w:r w:rsidRPr="00BB2B40">
              <w:rPr>
                <w:rFonts w:asciiTheme="minorHAnsi" w:hAnsiTheme="minorHAnsi" w:cstheme="minorHAnsi"/>
                <w:b/>
                <w:szCs w:val="22"/>
              </w:rPr>
              <w:t>Base Case</w:t>
            </w:r>
          </w:p>
        </w:tc>
        <w:tc>
          <w:tcPr>
            <w:tcW w:w="1872" w:type="dxa"/>
            <w:tcBorders>
              <w:top w:val="single" w:sz="4" w:space="0" w:color="1F497D" w:themeColor="text2"/>
              <w:left w:val="nil"/>
              <w:bottom w:val="nil"/>
              <w:right w:val="single" w:sz="4" w:space="0" w:color="1F497D" w:themeColor="text2"/>
            </w:tcBorders>
            <w:shd w:val="solid" w:color="003865" w:fill="auto"/>
            <w:vAlign w:val="center"/>
          </w:tcPr>
          <w:p w14:paraId="3A814778" w14:textId="77777777" w:rsidR="00471783" w:rsidRPr="00BB2B40" w:rsidRDefault="00471783" w:rsidP="00AB0A22">
            <w:pPr>
              <w:jc w:val="center"/>
              <w:rPr>
                <w:rFonts w:asciiTheme="minorHAnsi" w:hAnsiTheme="minorHAnsi" w:cstheme="minorHAnsi"/>
                <w:b/>
                <w:szCs w:val="22"/>
              </w:rPr>
            </w:pPr>
            <w:r w:rsidRPr="00BB2B40">
              <w:rPr>
                <w:rFonts w:asciiTheme="minorHAnsi" w:hAnsiTheme="minorHAnsi" w:cstheme="minorHAnsi"/>
                <w:b/>
                <w:szCs w:val="22"/>
              </w:rPr>
              <w:t xml:space="preserve">High Gas </w:t>
            </w:r>
            <w:r>
              <w:rPr>
                <w:rFonts w:asciiTheme="minorHAnsi" w:hAnsiTheme="minorHAnsi" w:cstheme="minorHAnsi"/>
                <w:b/>
                <w:szCs w:val="22"/>
              </w:rPr>
              <w:br/>
            </w:r>
            <w:r w:rsidRPr="00BB2B40">
              <w:rPr>
                <w:rFonts w:asciiTheme="minorHAnsi" w:hAnsiTheme="minorHAnsi" w:cstheme="minorHAnsi"/>
                <w:b/>
                <w:szCs w:val="22"/>
              </w:rPr>
              <w:t>Price Case</w:t>
            </w:r>
          </w:p>
        </w:tc>
      </w:tr>
      <w:tr w:rsidR="00471783" w:rsidRPr="003E0171" w14:paraId="5B55AB12" w14:textId="77777777" w:rsidTr="00AB0A22">
        <w:trPr>
          <w:trHeight w:val="576"/>
          <w:jc w:val="center"/>
        </w:trPr>
        <w:tc>
          <w:tcPr>
            <w:tcW w:w="2545" w:type="dxa"/>
            <w:tcBorders>
              <w:top w:val="nil"/>
              <w:left w:val="nil"/>
              <w:bottom w:val="single" w:sz="4" w:space="0" w:color="1F497D" w:themeColor="text2"/>
              <w:right w:val="nil"/>
            </w:tcBorders>
            <w:vAlign w:val="center"/>
          </w:tcPr>
          <w:p w14:paraId="6441E3D4" w14:textId="77777777" w:rsidR="00471783" w:rsidRPr="00BB2B40" w:rsidRDefault="00471783" w:rsidP="00AB0A22">
            <w:pPr>
              <w:rPr>
                <w:rFonts w:asciiTheme="minorHAnsi" w:hAnsiTheme="minorHAnsi" w:cstheme="minorHAnsi"/>
                <w:szCs w:val="22"/>
              </w:rPr>
            </w:pPr>
            <w:r>
              <w:rPr>
                <w:rFonts w:asciiTheme="minorHAnsi" w:hAnsiTheme="minorHAnsi" w:cstheme="minorHAnsi"/>
                <w:szCs w:val="22"/>
              </w:rPr>
              <w:t>Average Losses ($</w:t>
            </w:r>
            <w:r w:rsidR="001714D7">
              <w:rPr>
                <w:rFonts w:asciiTheme="minorHAnsi" w:hAnsiTheme="minorHAnsi" w:cstheme="minorHAnsi"/>
                <w:szCs w:val="22"/>
              </w:rPr>
              <w:t>/MWh</w:t>
            </w:r>
            <w:r w:rsidRPr="00BB2B40">
              <w:rPr>
                <w:rFonts w:asciiTheme="minorHAnsi" w:hAnsiTheme="minorHAnsi" w:cstheme="minorHAnsi"/>
                <w:szCs w:val="22"/>
              </w:rPr>
              <w:t>)</w:t>
            </w:r>
          </w:p>
        </w:tc>
        <w:tc>
          <w:tcPr>
            <w:tcW w:w="1872" w:type="dxa"/>
            <w:tcBorders>
              <w:top w:val="nil"/>
              <w:left w:val="nil"/>
              <w:bottom w:val="single" w:sz="4" w:space="0" w:color="1F497D" w:themeColor="text2"/>
              <w:right w:val="nil"/>
            </w:tcBorders>
            <w:vAlign w:val="center"/>
          </w:tcPr>
          <w:p w14:paraId="4ECE2B5C" w14:textId="77777777" w:rsidR="00471783" w:rsidRPr="00BB2B40" w:rsidRDefault="00471783" w:rsidP="00AB0A22">
            <w:pPr>
              <w:jc w:val="center"/>
              <w:rPr>
                <w:rFonts w:asciiTheme="minorHAnsi" w:hAnsiTheme="minorHAnsi" w:cstheme="minorHAnsi"/>
                <w:szCs w:val="22"/>
              </w:rPr>
            </w:pPr>
            <w:r>
              <w:rPr>
                <w:rFonts w:asciiTheme="minorHAnsi" w:hAnsiTheme="minorHAnsi" w:cstheme="minorHAnsi"/>
                <w:szCs w:val="22"/>
              </w:rPr>
              <w:t>23.93</w:t>
            </w:r>
          </w:p>
        </w:tc>
        <w:tc>
          <w:tcPr>
            <w:tcW w:w="1872" w:type="dxa"/>
            <w:tcBorders>
              <w:top w:val="nil"/>
              <w:left w:val="nil"/>
              <w:bottom w:val="single" w:sz="4" w:space="0" w:color="1F497D" w:themeColor="text2"/>
              <w:right w:val="nil"/>
            </w:tcBorders>
            <w:vAlign w:val="center"/>
          </w:tcPr>
          <w:p w14:paraId="56623F1D" w14:textId="77777777" w:rsidR="00471783" w:rsidRPr="00BB2B40" w:rsidRDefault="00471783" w:rsidP="00AB0A22">
            <w:pPr>
              <w:jc w:val="center"/>
              <w:rPr>
                <w:rFonts w:asciiTheme="minorHAnsi" w:hAnsiTheme="minorHAnsi" w:cstheme="minorHAnsi"/>
                <w:szCs w:val="22"/>
              </w:rPr>
            </w:pPr>
            <w:r>
              <w:rPr>
                <w:rFonts w:asciiTheme="minorHAnsi" w:hAnsiTheme="minorHAnsi" w:cstheme="minorHAnsi"/>
                <w:szCs w:val="22"/>
              </w:rPr>
              <w:t>30.02</w:t>
            </w:r>
          </w:p>
        </w:tc>
        <w:tc>
          <w:tcPr>
            <w:tcW w:w="1872" w:type="dxa"/>
            <w:tcBorders>
              <w:top w:val="nil"/>
              <w:left w:val="nil"/>
              <w:bottom w:val="single" w:sz="4" w:space="0" w:color="1F497D" w:themeColor="text2"/>
              <w:right w:val="nil"/>
            </w:tcBorders>
            <w:vAlign w:val="center"/>
          </w:tcPr>
          <w:p w14:paraId="121C1B72" w14:textId="77777777" w:rsidR="00471783" w:rsidRPr="00BB2B40" w:rsidRDefault="00471783" w:rsidP="00AB0A22">
            <w:pPr>
              <w:jc w:val="center"/>
              <w:rPr>
                <w:rFonts w:asciiTheme="minorHAnsi" w:hAnsiTheme="minorHAnsi" w:cstheme="minorHAnsi"/>
                <w:szCs w:val="22"/>
              </w:rPr>
            </w:pPr>
            <w:r>
              <w:rPr>
                <w:rFonts w:asciiTheme="minorHAnsi" w:hAnsiTheme="minorHAnsi" w:cstheme="minorHAnsi"/>
                <w:szCs w:val="22"/>
              </w:rPr>
              <w:t>32.38</w:t>
            </w:r>
          </w:p>
        </w:tc>
      </w:tr>
      <w:tr w:rsidR="00471783" w:rsidRPr="003E0171" w14:paraId="5017B758" w14:textId="77777777" w:rsidTr="00AB0A22">
        <w:trPr>
          <w:trHeight w:val="576"/>
          <w:jc w:val="center"/>
        </w:trPr>
        <w:tc>
          <w:tcPr>
            <w:tcW w:w="2545" w:type="dxa"/>
            <w:tcBorders>
              <w:top w:val="single" w:sz="4" w:space="0" w:color="1F497D" w:themeColor="text2"/>
              <w:left w:val="nil"/>
              <w:bottom w:val="nil"/>
              <w:right w:val="nil"/>
            </w:tcBorders>
            <w:vAlign w:val="center"/>
          </w:tcPr>
          <w:p w14:paraId="0090B666" w14:textId="77777777" w:rsidR="00471783" w:rsidRPr="00BB2B40" w:rsidRDefault="00471783" w:rsidP="00AB0A22">
            <w:pPr>
              <w:rPr>
                <w:rFonts w:asciiTheme="minorHAnsi" w:hAnsiTheme="minorHAnsi" w:cstheme="minorHAnsi"/>
                <w:szCs w:val="22"/>
              </w:rPr>
            </w:pPr>
            <w:r>
              <w:rPr>
                <w:rFonts w:asciiTheme="minorHAnsi" w:hAnsiTheme="minorHAnsi" w:cstheme="minorHAnsi"/>
                <w:szCs w:val="22"/>
              </w:rPr>
              <w:t>Marginal Losses ($</w:t>
            </w:r>
            <w:r w:rsidR="001714D7">
              <w:rPr>
                <w:rFonts w:asciiTheme="minorHAnsi" w:hAnsiTheme="minorHAnsi" w:cstheme="minorHAnsi"/>
                <w:szCs w:val="22"/>
              </w:rPr>
              <w:t>/MWh</w:t>
            </w:r>
            <w:r w:rsidRPr="00BB2B40">
              <w:rPr>
                <w:rFonts w:asciiTheme="minorHAnsi" w:hAnsiTheme="minorHAnsi" w:cstheme="minorHAnsi"/>
                <w:szCs w:val="22"/>
              </w:rPr>
              <w:t>)</w:t>
            </w:r>
          </w:p>
        </w:tc>
        <w:tc>
          <w:tcPr>
            <w:tcW w:w="1872" w:type="dxa"/>
            <w:tcBorders>
              <w:top w:val="single" w:sz="4" w:space="0" w:color="1F497D" w:themeColor="text2"/>
              <w:left w:val="nil"/>
              <w:bottom w:val="nil"/>
              <w:right w:val="nil"/>
            </w:tcBorders>
            <w:vAlign w:val="center"/>
          </w:tcPr>
          <w:p w14:paraId="4AB206E6" w14:textId="77777777" w:rsidR="00471783" w:rsidRPr="00BB2B40" w:rsidRDefault="00471783" w:rsidP="00AB0A22">
            <w:pPr>
              <w:jc w:val="center"/>
              <w:rPr>
                <w:rFonts w:asciiTheme="minorHAnsi" w:hAnsiTheme="minorHAnsi" w:cstheme="minorHAnsi"/>
                <w:szCs w:val="22"/>
              </w:rPr>
            </w:pPr>
            <w:r>
              <w:rPr>
                <w:rFonts w:asciiTheme="minorHAnsi" w:hAnsiTheme="minorHAnsi" w:cstheme="minorHAnsi"/>
                <w:szCs w:val="22"/>
              </w:rPr>
              <w:t>24.38</w:t>
            </w:r>
          </w:p>
        </w:tc>
        <w:tc>
          <w:tcPr>
            <w:tcW w:w="1872" w:type="dxa"/>
            <w:tcBorders>
              <w:top w:val="single" w:sz="4" w:space="0" w:color="1F497D" w:themeColor="text2"/>
              <w:left w:val="nil"/>
              <w:bottom w:val="nil"/>
              <w:right w:val="nil"/>
            </w:tcBorders>
            <w:vAlign w:val="center"/>
          </w:tcPr>
          <w:p w14:paraId="2ABF86F7" w14:textId="77777777" w:rsidR="00471783" w:rsidRPr="00BB2B40" w:rsidRDefault="00471783" w:rsidP="00AB0A22">
            <w:pPr>
              <w:jc w:val="center"/>
              <w:rPr>
                <w:rFonts w:asciiTheme="minorHAnsi" w:hAnsiTheme="minorHAnsi" w:cstheme="minorHAnsi"/>
                <w:szCs w:val="22"/>
              </w:rPr>
            </w:pPr>
            <w:r>
              <w:rPr>
                <w:rFonts w:asciiTheme="minorHAnsi" w:hAnsiTheme="minorHAnsi" w:cstheme="minorHAnsi"/>
                <w:szCs w:val="22"/>
              </w:rPr>
              <w:t>30.52</w:t>
            </w:r>
          </w:p>
        </w:tc>
        <w:tc>
          <w:tcPr>
            <w:tcW w:w="1872" w:type="dxa"/>
            <w:tcBorders>
              <w:top w:val="single" w:sz="4" w:space="0" w:color="1F497D" w:themeColor="text2"/>
              <w:left w:val="nil"/>
              <w:bottom w:val="nil"/>
              <w:right w:val="nil"/>
            </w:tcBorders>
            <w:vAlign w:val="center"/>
          </w:tcPr>
          <w:p w14:paraId="10A975C5" w14:textId="77777777" w:rsidR="00471783" w:rsidRPr="00BB2B40" w:rsidRDefault="00471783" w:rsidP="00AB0A22">
            <w:pPr>
              <w:jc w:val="center"/>
              <w:rPr>
                <w:rFonts w:asciiTheme="minorHAnsi" w:hAnsiTheme="minorHAnsi" w:cstheme="minorHAnsi"/>
                <w:szCs w:val="22"/>
              </w:rPr>
            </w:pPr>
            <w:r>
              <w:rPr>
                <w:rFonts w:asciiTheme="minorHAnsi" w:hAnsiTheme="minorHAnsi" w:cstheme="minorHAnsi"/>
                <w:szCs w:val="22"/>
              </w:rPr>
              <w:t>32.85</w:t>
            </w:r>
          </w:p>
        </w:tc>
      </w:tr>
    </w:tbl>
    <w:p w14:paraId="38E18E53" w14:textId="77777777" w:rsidR="00471783" w:rsidRDefault="00471783">
      <w:pPr>
        <w:rPr>
          <w:color w:val="FF0000"/>
        </w:rPr>
      </w:pPr>
    </w:p>
    <w:p w14:paraId="401DDA72" w14:textId="77777777" w:rsidR="00864A64" w:rsidRDefault="00864A64"/>
    <w:p w14:paraId="54522E84" w14:textId="77777777" w:rsidR="00864A64" w:rsidRPr="00864A64" w:rsidRDefault="001714D7">
      <w:pPr>
        <w:rPr>
          <w:i/>
        </w:rPr>
      </w:pPr>
      <w:r>
        <w:rPr>
          <w:i/>
        </w:rPr>
        <w:t>8</w:t>
      </w:r>
      <w:r w:rsidR="00864A64" w:rsidRPr="00864A64">
        <w:rPr>
          <w:i/>
        </w:rPr>
        <w:t xml:space="preserve">.  </w:t>
      </w:r>
      <w:r w:rsidR="008031DD" w:rsidRPr="00864A64">
        <w:rPr>
          <w:i/>
        </w:rPr>
        <w:t>Please</w:t>
      </w:r>
      <w:r w:rsidR="00FC3784" w:rsidRPr="00864A64">
        <w:rPr>
          <w:i/>
        </w:rPr>
        <w:t xml:space="preserve"> quantify the reduction in RUC commitments in the marginal loss study as a result of increased starts of </w:t>
      </w:r>
      <w:r w:rsidR="008031DD" w:rsidRPr="00864A64">
        <w:rPr>
          <w:i/>
        </w:rPr>
        <w:t>resources closer to loads.</w:t>
      </w:r>
      <w:r w:rsidR="000F57DE" w:rsidRPr="00864A64">
        <w:rPr>
          <w:i/>
        </w:rPr>
        <w:t xml:space="preserve"> </w:t>
      </w:r>
      <w:r>
        <w:rPr>
          <w:i/>
        </w:rPr>
        <w:t>(NRG)</w:t>
      </w:r>
    </w:p>
    <w:p w14:paraId="6FCF5564" w14:textId="45619D7A" w:rsidR="00FC3784" w:rsidRDefault="00C34069">
      <w:r>
        <w:t xml:space="preserve">A. </w:t>
      </w:r>
      <w:r w:rsidR="00864A64">
        <w:t xml:space="preserve">The Uplan model is not designed to simulate the ERCOT day-ahead process, including </w:t>
      </w:r>
      <w:r>
        <w:t>R</w:t>
      </w:r>
      <w:r w:rsidR="00864A64">
        <w:t xml:space="preserve">eliability </w:t>
      </w:r>
      <w:r>
        <w:t>U</w:t>
      </w:r>
      <w:r w:rsidR="00864A64">
        <w:t xml:space="preserve">nit </w:t>
      </w:r>
      <w:r>
        <w:t>C</w:t>
      </w:r>
      <w:r w:rsidR="00864A64">
        <w:t xml:space="preserve">ommitment (RUC).  </w:t>
      </w:r>
      <w:r w:rsidR="00000FE2">
        <w:t xml:space="preserve">ERCOT cannot quantify any changes in RUC commitments resulting from </w:t>
      </w:r>
      <w:r>
        <w:t xml:space="preserve">the </w:t>
      </w:r>
      <w:r w:rsidR="00000FE2">
        <w:t>implementation of marginal losses.</w:t>
      </w:r>
    </w:p>
    <w:p w14:paraId="000BDC90" w14:textId="77777777" w:rsidR="005F69B6" w:rsidRDefault="005F69B6"/>
    <w:p w14:paraId="62191DE8" w14:textId="77777777" w:rsidR="005F69B6" w:rsidRPr="005F69B6" w:rsidRDefault="001714D7" w:rsidP="005F69B6">
      <w:pPr>
        <w:rPr>
          <w:rFonts w:ascii="Times New Roman" w:eastAsia="Times New Roman" w:hAnsi="Times New Roman" w:cs="Times New Roman"/>
          <w:i/>
          <w:sz w:val="20"/>
          <w:szCs w:val="20"/>
        </w:rPr>
      </w:pPr>
      <w:r>
        <w:rPr>
          <w:i/>
        </w:rPr>
        <w:t>9</w:t>
      </w:r>
      <w:r w:rsidR="005F69B6" w:rsidRPr="005F69B6">
        <w:rPr>
          <w:i/>
        </w:rPr>
        <w:t xml:space="preserve">.  </w:t>
      </w:r>
      <w:r w:rsidR="005F69B6" w:rsidRPr="005F69B6">
        <w:rPr>
          <w:rFonts w:ascii="Calibri" w:eastAsia="Times New Roman" w:hAnsi="Calibri" w:cs="Times New Roman"/>
          <w:i/>
          <w:color w:val="000000"/>
        </w:rPr>
        <w:t>UPLAN has the option of modeling the loss on each line as equally split to the two terminals of the line. Was this the option used in the ERCOT analysis of marginal losses? If not, how were losses modeled? Was it just modeled as load at the load-distributed reference bus like most US ISOs?  Have you looked at the differences between the results using these options?</w:t>
      </w:r>
      <w:r>
        <w:rPr>
          <w:rFonts w:ascii="Calibri" w:eastAsia="Times New Roman" w:hAnsi="Calibri" w:cs="Times New Roman"/>
          <w:i/>
          <w:color w:val="000000"/>
        </w:rPr>
        <w:t xml:space="preserve"> (Shams Siddiqi)</w:t>
      </w:r>
    </w:p>
    <w:p w14:paraId="789D43D1" w14:textId="3BC5F6D4" w:rsidR="005F69B6" w:rsidRPr="005F69B6" w:rsidRDefault="005F69B6" w:rsidP="005F69B6">
      <w:pPr>
        <w:rPr>
          <w:rFonts w:ascii="Times New Roman" w:eastAsia="Times New Roman" w:hAnsi="Times New Roman" w:cs="Times New Roman"/>
          <w:sz w:val="20"/>
          <w:szCs w:val="20"/>
        </w:rPr>
      </w:pPr>
      <w:r w:rsidRPr="005F69B6">
        <w:t xml:space="preserve">A.  </w:t>
      </w:r>
      <w:r w:rsidRPr="005F69B6">
        <w:rPr>
          <w:rFonts w:ascii="Calibri" w:eastAsia="Times New Roman" w:hAnsi="Calibri" w:cs="Times New Roman"/>
        </w:rPr>
        <w:t>Uplan has four options to model losses: “No Losses</w:t>
      </w:r>
      <w:r w:rsidR="00C34069">
        <w:rPr>
          <w:rFonts w:ascii="Calibri" w:eastAsia="Times New Roman" w:hAnsi="Calibri" w:cs="Times New Roman"/>
        </w:rPr>
        <w:t>,</w:t>
      </w:r>
      <w:r w:rsidRPr="005F69B6">
        <w:rPr>
          <w:rFonts w:ascii="Calibri" w:eastAsia="Times New Roman" w:hAnsi="Calibri" w:cs="Times New Roman"/>
        </w:rPr>
        <w:t>” “Integrate Losses to Generation</w:t>
      </w:r>
      <w:r w:rsidR="00C34069">
        <w:rPr>
          <w:rFonts w:ascii="Calibri" w:eastAsia="Times New Roman" w:hAnsi="Calibri" w:cs="Times New Roman"/>
        </w:rPr>
        <w:t>,</w:t>
      </w:r>
      <w:r w:rsidRPr="005F69B6">
        <w:rPr>
          <w:rFonts w:ascii="Calibri" w:eastAsia="Times New Roman" w:hAnsi="Calibri" w:cs="Times New Roman"/>
        </w:rPr>
        <w:t>” “Mimic A/C Losses</w:t>
      </w:r>
      <w:r w:rsidR="00C34069">
        <w:rPr>
          <w:rFonts w:ascii="Calibri" w:eastAsia="Times New Roman" w:hAnsi="Calibri" w:cs="Times New Roman"/>
        </w:rPr>
        <w:t>,</w:t>
      </w:r>
      <w:r w:rsidRPr="005F69B6">
        <w:rPr>
          <w:rFonts w:ascii="Calibri" w:eastAsia="Times New Roman" w:hAnsi="Calibri" w:cs="Times New Roman"/>
        </w:rPr>
        <w:t>” and “Integrate Losses to Load</w:t>
      </w:r>
      <w:r w:rsidR="006950A3">
        <w:rPr>
          <w:rFonts w:ascii="Calibri" w:eastAsia="Times New Roman" w:hAnsi="Calibri" w:cs="Times New Roman"/>
        </w:rPr>
        <w:t>.</w:t>
      </w:r>
      <w:bookmarkStart w:id="0" w:name="_GoBack"/>
      <w:bookmarkEnd w:id="0"/>
      <w:r w:rsidRPr="005F69B6">
        <w:rPr>
          <w:rFonts w:ascii="Calibri" w:eastAsia="Times New Roman" w:hAnsi="Calibri" w:cs="Times New Roman"/>
        </w:rPr>
        <w:t>” We used the “Integrate Losses to Load” option for both the average loss modeling and the marginal loss modeling.</w:t>
      </w:r>
    </w:p>
    <w:p w14:paraId="443F9E0A" w14:textId="7FE24692" w:rsidR="005F69B6" w:rsidRDefault="009E7DDF">
      <w:r>
        <w:t xml:space="preserve">ERCOT did not evaluate the impacts of the other two options to model losses.  </w:t>
      </w:r>
      <w:r w:rsidR="00C34069">
        <w:t>Since</w:t>
      </w:r>
      <w:r>
        <w:t xml:space="preserve"> it has not yet been determined how ERCOT would actually implement marginal losses in Security Constrained Economic Dispatch (SCED), it was decided that it would not be informative to provide three different sets of results for </w:t>
      </w:r>
      <w:r>
        <w:lastRenderedPageBreak/>
        <w:t>each sensitivity case.  In addition, ERCOT spent a significant amount of effort understanding and vetting the software using the loss implementation option selected.  The other two loss options could have required a similar level of effort, which would have delayed completion of the study.</w:t>
      </w:r>
    </w:p>
    <w:p w14:paraId="579EBBE0" w14:textId="77777777" w:rsidR="005F69B6" w:rsidRPr="005F69B6" w:rsidRDefault="005F69B6"/>
    <w:sectPr w:rsidR="005F69B6" w:rsidRPr="005F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BF"/>
    <w:rsid w:val="00000FE2"/>
    <w:rsid w:val="000F57DE"/>
    <w:rsid w:val="001056AE"/>
    <w:rsid w:val="00161F6A"/>
    <w:rsid w:val="001714D7"/>
    <w:rsid w:val="00365707"/>
    <w:rsid w:val="00471783"/>
    <w:rsid w:val="00574002"/>
    <w:rsid w:val="005B1EBC"/>
    <w:rsid w:val="005F69B6"/>
    <w:rsid w:val="00645CF1"/>
    <w:rsid w:val="006950A3"/>
    <w:rsid w:val="00750A93"/>
    <w:rsid w:val="007B7B6E"/>
    <w:rsid w:val="008031DD"/>
    <w:rsid w:val="00850441"/>
    <w:rsid w:val="00864A64"/>
    <w:rsid w:val="009220AC"/>
    <w:rsid w:val="009B5B69"/>
    <w:rsid w:val="009E7DDF"/>
    <w:rsid w:val="00B246BF"/>
    <w:rsid w:val="00BB522C"/>
    <w:rsid w:val="00C22EEF"/>
    <w:rsid w:val="00C34069"/>
    <w:rsid w:val="00DF2BD0"/>
    <w:rsid w:val="00E03189"/>
    <w:rsid w:val="00FC3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7F268"/>
  <w15:docId w15:val="{FCFE394D-7594-416D-BC19-FD3D3381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7B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4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069"/>
    <w:rPr>
      <w:rFonts w:ascii="Segoe UI" w:hAnsi="Segoe UI" w:cs="Segoe UI"/>
      <w:sz w:val="18"/>
      <w:szCs w:val="18"/>
    </w:rPr>
  </w:style>
  <w:style w:type="character" w:styleId="CommentReference">
    <w:name w:val="annotation reference"/>
    <w:basedOn w:val="DefaultParagraphFont"/>
    <w:uiPriority w:val="99"/>
    <w:semiHidden/>
    <w:unhideWhenUsed/>
    <w:rsid w:val="00C34069"/>
    <w:rPr>
      <w:sz w:val="16"/>
      <w:szCs w:val="16"/>
    </w:rPr>
  </w:style>
  <w:style w:type="paragraph" w:styleId="CommentText">
    <w:name w:val="annotation text"/>
    <w:basedOn w:val="Normal"/>
    <w:link w:val="CommentTextChar"/>
    <w:uiPriority w:val="99"/>
    <w:semiHidden/>
    <w:unhideWhenUsed/>
    <w:rsid w:val="00C34069"/>
    <w:pPr>
      <w:spacing w:line="240" w:lineRule="auto"/>
    </w:pPr>
    <w:rPr>
      <w:sz w:val="20"/>
      <w:szCs w:val="20"/>
    </w:rPr>
  </w:style>
  <w:style w:type="character" w:customStyle="1" w:styleId="CommentTextChar">
    <w:name w:val="Comment Text Char"/>
    <w:basedOn w:val="DefaultParagraphFont"/>
    <w:link w:val="CommentText"/>
    <w:uiPriority w:val="99"/>
    <w:semiHidden/>
    <w:rsid w:val="00C34069"/>
    <w:rPr>
      <w:sz w:val="20"/>
      <w:szCs w:val="20"/>
    </w:rPr>
  </w:style>
  <w:style w:type="paragraph" w:styleId="CommentSubject">
    <w:name w:val="annotation subject"/>
    <w:basedOn w:val="CommentText"/>
    <w:next w:val="CommentText"/>
    <w:link w:val="CommentSubjectChar"/>
    <w:uiPriority w:val="99"/>
    <w:semiHidden/>
    <w:unhideWhenUsed/>
    <w:rsid w:val="00C34069"/>
    <w:rPr>
      <w:b/>
      <w:bCs/>
    </w:rPr>
  </w:style>
  <w:style w:type="character" w:customStyle="1" w:styleId="CommentSubjectChar">
    <w:name w:val="Comment Subject Char"/>
    <w:basedOn w:val="CommentTextChar"/>
    <w:link w:val="CommentSubject"/>
    <w:uiPriority w:val="99"/>
    <w:semiHidden/>
    <w:rsid w:val="00C340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98445">
      <w:bodyDiv w:val="1"/>
      <w:marLeft w:val="0"/>
      <w:marRight w:val="0"/>
      <w:marTop w:val="0"/>
      <w:marBottom w:val="0"/>
      <w:divBdr>
        <w:top w:val="none" w:sz="0" w:space="0" w:color="auto"/>
        <w:left w:val="none" w:sz="0" w:space="0" w:color="auto"/>
        <w:bottom w:val="none" w:sz="0" w:space="0" w:color="auto"/>
        <w:right w:val="none" w:sz="0" w:space="0" w:color="auto"/>
      </w:divBdr>
    </w:div>
    <w:div w:id="533886623">
      <w:bodyDiv w:val="1"/>
      <w:marLeft w:val="0"/>
      <w:marRight w:val="0"/>
      <w:marTop w:val="0"/>
      <w:marBottom w:val="0"/>
      <w:divBdr>
        <w:top w:val="none" w:sz="0" w:space="0" w:color="auto"/>
        <w:left w:val="none" w:sz="0" w:space="0" w:color="auto"/>
        <w:bottom w:val="none" w:sz="0" w:space="0" w:color="auto"/>
        <w:right w:val="none" w:sz="0" w:space="0" w:color="auto"/>
      </w:divBdr>
    </w:div>
    <w:div w:id="895092243">
      <w:bodyDiv w:val="1"/>
      <w:marLeft w:val="0"/>
      <w:marRight w:val="0"/>
      <w:marTop w:val="0"/>
      <w:marBottom w:val="0"/>
      <w:divBdr>
        <w:top w:val="none" w:sz="0" w:space="0" w:color="auto"/>
        <w:left w:val="none" w:sz="0" w:space="0" w:color="auto"/>
        <w:bottom w:val="none" w:sz="0" w:space="0" w:color="auto"/>
        <w:right w:val="none" w:sz="0" w:space="0" w:color="auto"/>
      </w:divBdr>
    </w:div>
    <w:div w:id="150092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Barnes (NRG)</dc:creator>
  <cp:keywords/>
  <dc:description/>
  <cp:lastModifiedBy>ps</cp:lastModifiedBy>
  <cp:revision>2</cp:revision>
  <dcterms:created xsi:type="dcterms:W3CDTF">2018-08-20T17:54:00Z</dcterms:created>
  <dcterms:modified xsi:type="dcterms:W3CDTF">2018-08-20T17:54:00Z</dcterms:modified>
</cp:coreProperties>
</file>