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3C8" w:rsidRPr="00B111FF" w:rsidRDefault="00B74944" w:rsidP="00D134EC">
      <w:pPr>
        <w:pStyle w:val="Heading2"/>
        <w:numPr>
          <w:ilvl w:val="2"/>
          <w:numId w:val="5"/>
        </w:numPr>
      </w:pPr>
      <w:r>
        <w:t>Load-Allocated Reliability</w:t>
      </w:r>
      <w:r w:rsidR="005202D3">
        <w:t xml:space="preserve"> Deployment Ancillary Service Imbalance</w:t>
      </w:r>
      <w:r>
        <w:t xml:space="preserve"> Revenue Neutrality </w:t>
      </w:r>
      <w:r w:rsidR="005202D3">
        <w:t>Amount</w:t>
      </w:r>
      <w:r w:rsidR="00321039">
        <w:t xml:space="preserve"> (Effective Date 6/25/2015)</w:t>
      </w:r>
    </w:p>
    <w:p w:rsidR="005723C8" w:rsidRPr="00CA1F90" w:rsidRDefault="005723C8" w:rsidP="00BE208D">
      <w:pPr>
        <w:pStyle w:val="BodyText2"/>
        <w:ind w:left="0"/>
        <w:rPr>
          <w:b/>
        </w:rPr>
      </w:pPr>
      <w:r w:rsidRPr="00CA1F90">
        <w:rPr>
          <w:b/>
        </w:rPr>
        <w:t>Description</w:t>
      </w:r>
    </w:p>
    <w:p w:rsidR="00741038" w:rsidRDefault="00741038" w:rsidP="00BE208D">
      <w:pPr>
        <w:pStyle w:val="BodyText2"/>
        <w:ind w:left="0"/>
        <w:rPr>
          <w:rFonts w:ascii="Times New Roman" w:hAnsi="Times New Roman"/>
          <w:iCs/>
          <w:sz w:val="24"/>
        </w:rPr>
      </w:pPr>
      <w:r w:rsidRPr="00741038">
        <w:rPr>
          <w:rFonts w:ascii="Times New Roman" w:hAnsi="Times New Roman"/>
          <w:iCs/>
          <w:sz w:val="24"/>
        </w:rPr>
        <w:t xml:space="preserve">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w:t>
      </w:r>
      <w:proofErr w:type="gramStart"/>
      <w:r w:rsidRPr="00741038">
        <w:rPr>
          <w:rFonts w:ascii="Times New Roman" w:hAnsi="Times New Roman"/>
          <w:iCs/>
          <w:sz w:val="24"/>
        </w:rPr>
        <w:t>are</w:t>
      </w:r>
      <w:proofErr w:type="gramEnd"/>
      <w:r w:rsidRPr="00741038">
        <w:rPr>
          <w:rFonts w:ascii="Times New Roman" w:hAnsi="Times New Roman"/>
          <w:iCs/>
          <w:sz w:val="24"/>
        </w:rPr>
        <w:t xml:space="preserve"> calculated as follows:</w:t>
      </w:r>
    </w:p>
    <w:p w:rsidR="00BE208D" w:rsidRDefault="00BE208D" w:rsidP="00BE208D">
      <w:pPr>
        <w:pStyle w:val="BodyText2"/>
        <w:ind w:left="0"/>
        <w:rPr>
          <w:rFonts w:ascii="Times New Roman" w:hAnsi="Times New Roman"/>
          <w:b/>
          <w:iCs/>
          <w:sz w:val="24"/>
          <w:u w:val="single"/>
        </w:rPr>
      </w:pPr>
      <w:r w:rsidRPr="00BE208D">
        <w:rPr>
          <w:rFonts w:ascii="Times New Roman" w:hAnsi="Times New Roman"/>
          <w:b/>
          <w:iCs/>
          <w:sz w:val="24"/>
          <w:u w:val="single"/>
        </w:rPr>
        <w:t>Calculations</w:t>
      </w:r>
    </w:p>
    <w:p w:rsidR="00BE208D" w:rsidRDefault="00BE208D" w:rsidP="00BE208D">
      <w:pPr>
        <w:pStyle w:val="BodyText2"/>
        <w:ind w:left="0"/>
        <w:rPr>
          <w:rFonts w:ascii="Times New Roman" w:hAnsi="Times New Roman"/>
          <w:iCs/>
          <w:sz w:val="24"/>
        </w:rPr>
      </w:pPr>
      <w:r>
        <w:rPr>
          <w:rFonts w:ascii="Times New Roman" w:hAnsi="Times New Roman"/>
          <w:iCs/>
          <w:sz w:val="24"/>
        </w:rPr>
        <w:t xml:space="preserve">Calculate the </w:t>
      </w:r>
      <w:r w:rsidR="006F3527">
        <w:rPr>
          <w:rFonts w:ascii="Times New Roman" w:hAnsi="Times New Roman"/>
          <w:iCs/>
          <w:sz w:val="24"/>
        </w:rPr>
        <w:t>Load-Allocated</w:t>
      </w:r>
      <w:r>
        <w:rPr>
          <w:rFonts w:ascii="Times New Roman" w:hAnsi="Times New Roman"/>
          <w:iCs/>
          <w:sz w:val="24"/>
        </w:rPr>
        <w:t xml:space="preserve"> </w:t>
      </w:r>
      <w:r w:rsidR="005202D3">
        <w:rPr>
          <w:rFonts w:ascii="Times New Roman" w:hAnsi="Times New Roman"/>
          <w:iCs/>
          <w:sz w:val="24"/>
        </w:rPr>
        <w:t xml:space="preserve">Reliability Deployment </w:t>
      </w:r>
      <w:r>
        <w:rPr>
          <w:rFonts w:ascii="Times New Roman" w:hAnsi="Times New Roman"/>
          <w:iCs/>
          <w:sz w:val="24"/>
        </w:rPr>
        <w:t>Ancillary Service Imbalance</w:t>
      </w:r>
      <w:r w:rsidR="006F3527">
        <w:rPr>
          <w:rFonts w:ascii="Times New Roman" w:hAnsi="Times New Roman"/>
          <w:iCs/>
          <w:sz w:val="24"/>
        </w:rPr>
        <w:t xml:space="preserve"> Revenue Neutrality</w:t>
      </w:r>
      <w:r>
        <w:rPr>
          <w:rFonts w:ascii="Times New Roman" w:hAnsi="Times New Roman"/>
          <w:iCs/>
          <w:sz w:val="24"/>
        </w:rPr>
        <w:t xml:space="preserve"> Amount </w:t>
      </w:r>
      <w:r w:rsidR="00B111FF">
        <w:rPr>
          <w:rFonts w:ascii="Times New Roman" w:hAnsi="Times New Roman"/>
          <w:iCs/>
          <w:sz w:val="24"/>
        </w:rPr>
        <w:t>by QSE and 15-minute Settlement Interval for the Operating Day</w:t>
      </w:r>
    </w:p>
    <w:p w:rsidR="00B111FF" w:rsidRDefault="00B111FF"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59264" behindDoc="0" locked="0" layoutInCell="1" allowOverlap="1" wp14:anchorId="294472D5" wp14:editId="41F615AB">
                <wp:simplePos x="0" y="0"/>
                <wp:positionH relativeFrom="column">
                  <wp:posOffset>0</wp:posOffset>
                </wp:positionH>
                <wp:positionV relativeFrom="paragraph">
                  <wp:posOffset>154940</wp:posOffset>
                </wp:positionV>
                <wp:extent cx="8439150" cy="12668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39150" cy="1266825"/>
                        </a:xfrm>
                        <a:prstGeom prst="rect">
                          <a:avLst/>
                        </a:prstGeom>
                        <a:solidFill>
                          <a:srgbClr val="FFFFFF"/>
                        </a:solidFill>
                        <a:ln w="9525">
                          <a:solidFill>
                            <a:srgbClr val="000000"/>
                          </a:solidFill>
                          <a:miter lim="800000"/>
                          <a:headEnd/>
                          <a:tailEnd/>
                        </a:ln>
                      </wps:spPr>
                      <wps:txb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r>
                            <w:r w:rsidR="00C22349">
                              <w:rPr>
                                <w:sz w:val="48"/>
                                <w:szCs w:val="48"/>
                              </w:rPr>
                              <w:t xml:space="preserve"> </w:t>
                            </w:r>
                            <w:r w:rsidRPr="00383DEE">
                              <w:rPr>
                                <w:sz w:val="48"/>
                                <w:szCs w:val="48"/>
                              </w:rPr>
                              <w:t xml:space="preserve">= (-1) * </w:t>
                            </w:r>
                            <w:proofErr w:type="gramStart"/>
                            <w:r w:rsidR="00741038">
                              <w:rPr>
                                <w:sz w:val="48"/>
                                <w:szCs w:val="48"/>
                              </w:rPr>
                              <w:t>[</w:t>
                            </w:r>
                            <w:r w:rsidR="00383DEE">
                              <w:rPr>
                                <w:sz w:val="48"/>
                                <w:szCs w:val="48"/>
                              </w:rPr>
                              <w:t xml:space="preserve"> </w:t>
                            </w:r>
                            <w:r w:rsidR="00901B1D">
                              <w:rPr>
                                <w:sz w:val="48"/>
                                <w:szCs w:val="48"/>
                              </w:rPr>
                              <w:t>(</w:t>
                            </w:r>
                            <w:proofErr w:type="gramEnd"/>
                            <w:r w:rsidR="00383DEE">
                              <w:rPr>
                                <w:sz w:val="48"/>
                                <w:szCs w:val="48"/>
                              </w:rPr>
                              <w:t xml:space="preserve">                </w:t>
                            </w:r>
                            <w:r w:rsidR="00D134EC">
                              <w:rPr>
                                <w:sz w:val="48"/>
                                <w:szCs w:val="48"/>
                              </w:rPr>
                              <w:t xml:space="preserve">  </w:t>
                            </w:r>
                            <w:r w:rsidR="005202D3">
                              <w:rPr>
                                <w:sz w:val="48"/>
                                <w:szCs w:val="48"/>
                              </w:rPr>
                              <w:t xml:space="preserve">  </w:t>
                            </w:r>
                            <w:r w:rsidR="00901B1D">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C22349">
                              <w:rPr>
                                <w:sz w:val="48"/>
                                <w:szCs w:val="48"/>
                              </w:rPr>
                              <w:t xml:space="preserve"> </w:t>
                            </w:r>
                            <w:r w:rsidR="00901B1D">
                              <w:rPr>
                                <w:sz w:val="48"/>
                                <w:szCs w:val="48"/>
                              </w:rPr>
                              <w:t xml:space="preserve">  ) </w:t>
                            </w:r>
                            <w:r w:rsidR="00741038">
                              <w:rPr>
                                <w:sz w:val="48"/>
                                <w:szCs w:val="48"/>
                              </w:rPr>
                              <w:t>*</w:t>
                            </w:r>
                            <w:r w:rsidR="00901B1D">
                              <w:rPr>
                                <w:sz w:val="48"/>
                                <w:szCs w:val="48"/>
                              </w:rPr>
                              <w:t xml:space="preserve">  </w:t>
                            </w:r>
                            <w:r w:rsidR="00901B1D">
                              <w:rPr>
                                <w:sz w:val="48"/>
                                <w:szCs w:val="48"/>
                              </w:rPr>
                              <w:tab/>
                            </w:r>
                            <w:r w:rsidR="00901B1D">
                              <w:rPr>
                                <w:sz w:val="48"/>
                                <w:szCs w:val="48"/>
                              </w:rPr>
                              <w:tab/>
                              <w:t xml:space="preserve">     </w:t>
                            </w:r>
                            <w:r w:rsidR="00741038">
                              <w:rPr>
                                <w:sz w:val="48"/>
                                <w:szCs w:val="48"/>
                              </w:rPr>
                              <w:t>]</w:t>
                            </w:r>
                            <w:r w:rsidR="00383DEE">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2.2pt;width:664.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">
                <v:textbo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r>
                      <w:r w:rsidR="00C22349">
                        <w:rPr>
                          <w:sz w:val="48"/>
                          <w:szCs w:val="48"/>
                        </w:rPr>
                        <w:t xml:space="preserve"> </w:t>
                      </w:r>
                      <w:r w:rsidRPr="00383DEE">
                        <w:rPr>
                          <w:sz w:val="48"/>
                          <w:szCs w:val="48"/>
                        </w:rPr>
                        <w:t xml:space="preserve">= (-1) * </w:t>
                      </w:r>
                      <w:proofErr w:type="gramStart"/>
                      <w:r w:rsidR="00741038">
                        <w:rPr>
                          <w:sz w:val="48"/>
                          <w:szCs w:val="48"/>
                        </w:rPr>
                        <w:t>[</w:t>
                      </w:r>
                      <w:r w:rsidR="00383DEE">
                        <w:rPr>
                          <w:sz w:val="48"/>
                          <w:szCs w:val="48"/>
                        </w:rPr>
                        <w:t xml:space="preserve"> </w:t>
                      </w:r>
                      <w:r w:rsidR="00901B1D">
                        <w:rPr>
                          <w:sz w:val="48"/>
                          <w:szCs w:val="48"/>
                        </w:rPr>
                        <w:t>(</w:t>
                      </w:r>
                      <w:proofErr w:type="gramEnd"/>
                      <w:r w:rsidR="00383DEE">
                        <w:rPr>
                          <w:sz w:val="48"/>
                          <w:szCs w:val="48"/>
                        </w:rPr>
                        <w:t xml:space="preserve">                </w:t>
                      </w:r>
                      <w:r w:rsidR="00D134EC">
                        <w:rPr>
                          <w:sz w:val="48"/>
                          <w:szCs w:val="48"/>
                        </w:rPr>
                        <w:t xml:space="preserve">  </w:t>
                      </w:r>
                      <w:r w:rsidR="005202D3">
                        <w:rPr>
                          <w:sz w:val="48"/>
                          <w:szCs w:val="48"/>
                        </w:rPr>
                        <w:t xml:space="preserve">  </w:t>
                      </w:r>
                      <w:r w:rsidR="00901B1D">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C22349">
                        <w:rPr>
                          <w:sz w:val="48"/>
                          <w:szCs w:val="48"/>
                        </w:rPr>
                        <w:t xml:space="preserve"> </w:t>
                      </w:r>
                      <w:r w:rsidR="00901B1D">
                        <w:rPr>
                          <w:sz w:val="48"/>
                          <w:szCs w:val="48"/>
                        </w:rPr>
                        <w:t xml:space="preserve">  ) </w:t>
                      </w:r>
                      <w:r w:rsidR="00741038">
                        <w:rPr>
                          <w:sz w:val="48"/>
                          <w:szCs w:val="48"/>
                        </w:rPr>
                        <w:t>*</w:t>
                      </w:r>
                      <w:r w:rsidR="00901B1D">
                        <w:rPr>
                          <w:sz w:val="48"/>
                          <w:szCs w:val="48"/>
                        </w:rPr>
                        <w:t xml:space="preserve">  </w:t>
                      </w:r>
                      <w:r w:rsidR="00901B1D">
                        <w:rPr>
                          <w:sz w:val="48"/>
                          <w:szCs w:val="48"/>
                        </w:rPr>
                        <w:tab/>
                      </w:r>
                      <w:r w:rsidR="00901B1D">
                        <w:rPr>
                          <w:sz w:val="48"/>
                          <w:szCs w:val="48"/>
                        </w:rPr>
                        <w:tab/>
                        <w:t xml:space="preserve">     </w:t>
                      </w:r>
                      <w:r w:rsidR="00741038">
                        <w:rPr>
                          <w:sz w:val="48"/>
                          <w:szCs w:val="48"/>
                        </w:rPr>
                        <w:t>]</w:t>
                      </w:r>
                      <w:r w:rsidR="00383DEE">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v:textbox>
              </v:shape>
            </w:pict>
          </mc:Fallback>
        </mc:AlternateContent>
      </w:r>
    </w:p>
    <w:p w:rsidR="00B111FF" w:rsidRDefault="00901B1D"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63360" behindDoc="0" locked="0" layoutInCell="1" allowOverlap="1" wp14:anchorId="0C44E839" wp14:editId="4A8D880E">
                <wp:simplePos x="0" y="0"/>
                <wp:positionH relativeFrom="column">
                  <wp:posOffset>6467475</wp:posOffset>
                </wp:positionH>
                <wp:positionV relativeFrom="paragraph">
                  <wp:posOffset>23495</wp:posOffset>
                </wp:positionV>
                <wp:extent cx="1200150" cy="1019175"/>
                <wp:effectExtent l="38100" t="38100" r="114300" b="123825"/>
                <wp:wrapNone/>
                <wp:docPr id="15" name="Rectangle 15"/>
                <wp:cNvGraphicFramePr/>
                <a:graphic xmlns:a="http://schemas.openxmlformats.org/drawingml/2006/main">
                  <a:graphicData uri="http://schemas.microsoft.com/office/word/2010/wordprocessingShape">
                    <wps:wsp>
                      <wps:cNvSpPr/>
                      <wps:spPr>
                        <a:xfrm>
                          <a:off x="0" y="0"/>
                          <a:ext cx="1200150" cy="1019175"/>
                        </a:xfrm>
                        <a:prstGeom prst="rect">
                          <a:avLst/>
                        </a:prstGeom>
                        <a:gradFill flip="none" rotWithShape="1">
                          <a:gsLst>
                            <a:gs pos="0">
                              <a:schemeClr val="bg1">
                                <a:lumMod val="50000"/>
                                <a:lumOff val="50000"/>
                                <a:tint val="66000"/>
                                <a:satMod val="160000"/>
                              </a:schemeClr>
                            </a:gs>
                            <a:gs pos="50000">
                              <a:schemeClr val="bg1">
                                <a:lumMod val="50000"/>
                                <a:lumOff val="50000"/>
                                <a:tint val="44500"/>
                                <a:satMod val="160000"/>
                              </a:schemeClr>
                            </a:gs>
                            <a:gs pos="100000">
                              <a:schemeClr val="bg1">
                                <a:lumMod val="50000"/>
                                <a:lumOff val="50000"/>
                                <a:tint val="23500"/>
                                <a:satMod val="160000"/>
                              </a:schemeClr>
                            </a:gs>
                          </a:gsLst>
                          <a:lin ang="135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901B1D" w:rsidP="00E41B02">
                            <w:pPr>
                              <w:spacing w:after="0"/>
                              <w:jc w:val="center"/>
                              <w:rPr>
                                <w:b/>
                                <w:sz w:val="18"/>
                                <w:szCs w:val="18"/>
                              </w:rPr>
                            </w:pPr>
                            <w:r>
                              <w:rPr>
                                <w:b/>
                                <w:sz w:val="18"/>
                                <w:szCs w:val="18"/>
                              </w:rPr>
                              <w:t>%</w:t>
                            </w:r>
                          </w:p>
                          <w:p w:rsidR="00DA3A3B" w:rsidRPr="001D0009" w:rsidRDefault="00BE208D" w:rsidP="00E41B02">
                            <w:pPr>
                              <w:spacing w:after="0"/>
                              <w:jc w:val="center"/>
                              <w:rPr>
                                <w:b/>
                                <w:sz w:val="18"/>
                                <w:szCs w:val="18"/>
                              </w:rPr>
                            </w:pPr>
                            <w:r>
                              <w:rPr>
                                <w:b/>
                                <w:sz w:val="18"/>
                                <w:szCs w:val="18"/>
                              </w:rPr>
                              <w:t>THE LRS Calculated for QSE per Interval</w:t>
                            </w:r>
                          </w:p>
                          <w:p w:rsidR="00DA3A3B" w:rsidRPr="001D0009" w:rsidRDefault="00DA3A3B" w:rsidP="00E41B02">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7" style="position:absolute;margin-left:509.25pt;margin-top:1.85pt;width:94.5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" fillcolor="gray [1628]" strokecolor="black [3214]" strokeweight="2pt">
                <v:fill color2="gray [1628]" rotate="t" angle="225" colors="0 #b8b8b8;.5 #d3d3d3;1 #e9e9e9" focus="100%" type="gradient"/>
                <v:shadow on="t" color="black" opacity="26214f" origin="-.5,-.5" offset=".74836mm,.74836mm"/>
                <v:textbox>
                  <w:txbxContent>
                    <w:p w:rsidR="00DA3A3B" w:rsidRPr="001D0009" w:rsidRDefault="00901B1D" w:rsidP="00E41B02">
                      <w:pPr>
                        <w:spacing w:after="0"/>
                        <w:jc w:val="center"/>
                        <w:rPr>
                          <w:b/>
                          <w:sz w:val="18"/>
                          <w:szCs w:val="18"/>
                        </w:rPr>
                      </w:pPr>
                      <w:r>
                        <w:rPr>
                          <w:b/>
                          <w:sz w:val="18"/>
                          <w:szCs w:val="18"/>
                        </w:rPr>
                        <w:t>%</w:t>
                      </w:r>
                    </w:p>
                    <w:p w:rsidR="00DA3A3B" w:rsidRPr="001D0009" w:rsidRDefault="00BE208D" w:rsidP="00E41B02">
                      <w:pPr>
                        <w:spacing w:after="0"/>
                        <w:jc w:val="center"/>
                        <w:rPr>
                          <w:b/>
                          <w:sz w:val="18"/>
                          <w:szCs w:val="18"/>
                        </w:rPr>
                      </w:pPr>
                      <w:r>
                        <w:rPr>
                          <w:b/>
                          <w:sz w:val="18"/>
                          <w:szCs w:val="18"/>
                        </w:rPr>
                        <w:t>THE LRS Calculated for QSE per Interval</w:t>
                      </w:r>
                    </w:p>
                    <w:p w:rsidR="00DA3A3B" w:rsidRPr="001D0009" w:rsidRDefault="00DA3A3B" w:rsidP="00E41B02">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796FE2D2" wp14:editId="545D8EE5">
                <wp:simplePos x="0" y="0"/>
                <wp:positionH relativeFrom="column">
                  <wp:posOffset>2781300</wp:posOffset>
                </wp:positionH>
                <wp:positionV relativeFrom="paragraph">
                  <wp:posOffset>33020</wp:posOffset>
                </wp:positionV>
                <wp:extent cx="1257300" cy="1019175"/>
                <wp:effectExtent l="38100" t="38100" r="114300" b="123825"/>
                <wp:wrapNone/>
                <wp:docPr id="3" name="Rectangle 3"/>
                <wp:cNvGraphicFramePr/>
                <a:graphic xmlns:a="http://schemas.openxmlformats.org/drawingml/2006/main">
                  <a:graphicData uri="http://schemas.microsoft.com/office/word/2010/wordprocessingShape">
                    <wps:wsp>
                      <wps:cNvSpPr/>
                      <wps:spPr>
                        <a:xfrm>
                          <a:off x="0" y="0"/>
                          <a:ext cx="1257300"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5202D3" w:rsidP="00DA3A3B">
                            <w:pPr>
                              <w:spacing w:after="0" w:line="240" w:lineRule="auto"/>
                              <w:jc w:val="center"/>
                              <w:rPr>
                                <w:b/>
                                <w:sz w:val="18"/>
                                <w:szCs w:val="18"/>
                              </w:rPr>
                            </w:pPr>
                            <w:r>
                              <w:rPr>
                                <w:b/>
                                <w:sz w:val="18"/>
                                <w:szCs w:val="18"/>
                              </w:rPr>
                              <w:t xml:space="preserve"> </w:t>
                            </w:r>
                            <w:r w:rsidR="00CB2016"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w:t>
                            </w:r>
                            <w:r w:rsidR="005202D3">
                              <w:rPr>
                                <w:b/>
                                <w:sz w:val="18"/>
                                <w:szCs w:val="18"/>
                              </w:rPr>
                              <w:t xml:space="preserve"> Reliability Deployment</w:t>
                            </w:r>
                            <w:r>
                              <w:rPr>
                                <w:b/>
                                <w:sz w:val="18"/>
                                <w:szCs w:val="18"/>
                              </w:rPr>
                              <w:t xml:space="preserv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w:t>
                            </w:r>
                            <w:r w:rsidR="005202D3">
                              <w:rPr>
                                <w:b/>
                                <w:sz w:val="18"/>
                                <w:szCs w:val="18"/>
                              </w:rPr>
                              <w:t>RDASIAMTTOT</w:t>
                            </w:r>
                            <w:r w:rsidR="00DA3A3B" w:rsidRPr="001D0009">
                              <w:rPr>
                                <w:b/>
                                <w:sz w:val="18"/>
                                <w:szCs w:val="18"/>
                              </w:rPr>
                              <w:t>)</w:t>
                            </w:r>
                            <w:r w:rsidR="00CB2016" w:rsidRPr="001D0009">
                              <w:rPr>
                                <w:b/>
                                <w:sz w:val="18"/>
                                <w:szCs w:val="18"/>
                              </w:rPr>
                              <w:tab/>
                            </w:r>
                          </w:p>
                          <w:p w:rsidR="00CB2016" w:rsidRDefault="00CB2016" w:rsidP="00CB201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8" style="position:absolute;margin-left:219pt;margin-top:2.6pt;width:99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5202D3" w:rsidP="00DA3A3B">
                      <w:pPr>
                        <w:spacing w:after="0" w:line="240" w:lineRule="auto"/>
                        <w:jc w:val="center"/>
                        <w:rPr>
                          <w:b/>
                          <w:sz w:val="18"/>
                          <w:szCs w:val="18"/>
                        </w:rPr>
                      </w:pPr>
                      <w:r>
                        <w:rPr>
                          <w:b/>
                          <w:sz w:val="18"/>
                          <w:szCs w:val="18"/>
                        </w:rPr>
                        <w:t xml:space="preserve"> </w:t>
                      </w:r>
                      <w:r w:rsidR="00CB2016"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w:t>
                      </w:r>
                      <w:r w:rsidR="005202D3">
                        <w:rPr>
                          <w:b/>
                          <w:sz w:val="18"/>
                          <w:szCs w:val="18"/>
                        </w:rPr>
                        <w:t xml:space="preserve"> Reliability Deployment</w:t>
                      </w:r>
                      <w:r>
                        <w:rPr>
                          <w:b/>
                          <w:sz w:val="18"/>
                          <w:szCs w:val="18"/>
                        </w:rPr>
                        <w:t xml:space="preserv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w:t>
                      </w:r>
                      <w:r w:rsidR="005202D3">
                        <w:rPr>
                          <w:b/>
                          <w:sz w:val="18"/>
                          <w:szCs w:val="18"/>
                        </w:rPr>
                        <w:t>RDASIAMTTOT</w:t>
                      </w:r>
                      <w:r w:rsidR="00DA3A3B" w:rsidRPr="001D0009">
                        <w:rPr>
                          <w:b/>
                          <w:sz w:val="18"/>
                          <w:szCs w:val="18"/>
                        </w:rPr>
                        <w:t>)</w:t>
                      </w:r>
                      <w:r w:rsidR="00CB2016" w:rsidRPr="001D0009">
                        <w:rPr>
                          <w:b/>
                          <w:sz w:val="18"/>
                          <w:szCs w:val="18"/>
                        </w:rPr>
                        <w:tab/>
                      </w:r>
                    </w:p>
                    <w:p w:rsidR="00CB2016" w:rsidRDefault="00CB2016" w:rsidP="00CB2016"/>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243FC3BB" wp14:editId="3D449CEC">
                <wp:simplePos x="0" y="0"/>
                <wp:positionH relativeFrom="column">
                  <wp:posOffset>4552950</wp:posOffset>
                </wp:positionH>
                <wp:positionV relativeFrom="paragraph">
                  <wp:posOffset>33020</wp:posOffset>
                </wp:positionV>
                <wp:extent cx="1419225" cy="1009650"/>
                <wp:effectExtent l="38100" t="38100" r="123825" b="114300"/>
                <wp:wrapNone/>
                <wp:docPr id="10" name="Rectangle 10"/>
                <wp:cNvGraphicFramePr/>
                <a:graphic xmlns:a="http://schemas.openxmlformats.org/drawingml/2006/main">
                  <a:graphicData uri="http://schemas.microsoft.com/office/word/2010/wordprocessingShape">
                    <wps:wsp>
                      <wps:cNvSpPr/>
                      <wps:spPr>
                        <a:xfrm>
                          <a:off x="0" y="0"/>
                          <a:ext cx="1419225" cy="100965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w:t>
                            </w:r>
                            <w:r w:rsidR="005202D3">
                              <w:rPr>
                                <w:b/>
                                <w:sz w:val="18"/>
                                <w:szCs w:val="18"/>
                              </w:rPr>
                              <w:t xml:space="preserve"> Reliability Deployment</w:t>
                            </w:r>
                            <w:r>
                              <w:rPr>
                                <w:b/>
                                <w:sz w:val="18"/>
                                <w:szCs w:val="18"/>
                              </w:rPr>
                              <w:t xml:space="preserv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5202D3">
                              <w:rPr>
                                <w:b/>
                                <w:sz w:val="18"/>
                                <w:szCs w:val="18"/>
                              </w:rPr>
                              <w:t>RDR</w:t>
                            </w:r>
                            <w:r w:rsidR="00741038">
                              <w:rPr>
                                <w:b/>
                                <w:sz w:val="18"/>
                                <w:szCs w:val="18"/>
                              </w:rPr>
                              <w:t>UCRSVAMTTOT)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9" style="position:absolute;margin-left:358.5pt;margin-top:2.6pt;width:111.75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" fillcolor="#27f82c [2404]" strokecolor="black [3214]" strokeweight="2pt">
                <v:fill color2="#27f82c [2404]" rotate="t" angle="270" colors="0 #86ff87;.5 #b6ffb6;1 #dbffdc" focus="100%" type="gradient"/>
                <v:shadow on="t" color="black" opacity="26214f" origin="-.5,-.5" offset=".74836mm,.74836mm"/>
                <v:textbo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w:t>
                      </w:r>
                      <w:r w:rsidR="005202D3">
                        <w:rPr>
                          <w:b/>
                          <w:sz w:val="18"/>
                          <w:szCs w:val="18"/>
                        </w:rPr>
                        <w:t xml:space="preserve"> Reliability Deployment</w:t>
                      </w:r>
                      <w:r>
                        <w:rPr>
                          <w:b/>
                          <w:sz w:val="18"/>
                          <w:szCs w:val="18"/>
                        </w:rPr>
                        <w:t xml:space="preserv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5202D3">
                        <w:rPr>
                          <w:b/>
                          <w:sz w:val="18"/>
                          <w:szCs w:val="18"/>
                        </w:rPr>
                        <w:t>RDR</w:t>
                      </w:r>
                      <w:r w:rsidR="00741038">
                        <w:rPr>
                          <w:b/>
                          <w:sz w:val="18"/>
                          <w:szCs w:val="18"/>
                        </w:rPr>
                        <w:t>UCRSVAMTTOT)</w:t>
                      </w:r>
                    </w:p>
                  </w:txbxContent>
                </v:textbox>
              </v:rect>
            </w:pict>
          </mc:Fallback>
        </mc:AlternateContent>
      </w:r>
      <w:r w:rsidR="005202D3">
        <w:rPr>
          <w:noProof/>
        </w:rPr>
        <mc:AlternateContent>
          <mc:Choice Requires="wps">
            <w:drawing>
              <wp:anchor distT="0" distB="0" distL="114300" distR="114300" simplePos="0" relativeHeight="251660288" behindDoc="0" locked="0" layoutInCell="1" allowOverlap="1" wp14:anchorId="14CE5407" wp14:editId="4A7A582D">
                <wp:simplePos x="0" y="0"/>
                <wp:positionH relativeFrom="column">
                  <wp:posOffset>161925</wp:posOffset>
                </wp:positionH>
                <wp:positionV relativeFrom="paragraph">
                  <wp:posOffset>13970</wp:posOffset>
                </wp:positionV>
                <wp:extent cx="1304925" cy="1066800"/>
                <wp:effectExtent l="38100" t="38100" r="123825" b="114300"/>
                <wp:wrapNone/>
                <wp:docPr id="2" name="Rectangle 2"/>
                <wp:cNvGraphicFramePr/>
                <a:graphic xmlns:a="http://schemas.openxmlformats.org/drawingml/2006/main">
                  <a:graphicData uri="http://schemas.microsoft.com/office/word/2010/wordprocessingShape">
                    <wps:wsp>
                      <wps:cNvSpPr/>
                      <wps:spPr>
                        <a:xfrm>
                          <a:off x="0" y="0"/>
                          <a:ext cx="1304925" cy="10668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E41B02">
                            <w:pPr>
                              <w:spacing w:after="0" w:line="240" w:lineRule="auto"/>
                              <w:jc w:val="center"/>
                              <w:rPr>
                                <w:b/>
                                <w:sz w:val="18"/>
                                <w:szCs w:val="18"/>
                              </w:rPr>
                            </w:pPr>
                            <w:r w:rsidRPr="001D0009">
                              <w:rPr>
                                <w:b/>
                                <w:sz w:val="18"/>
                                <w:szCs w:val="18"/>
                              </w:rPr>
                              <w:t>$</w:t>
                            </w:r>
                          </w:p>
                          <w:p w:rsidR="00CB2016" w:rsidRPr="001D0009" w:rsidRDefault="00D134EC" w:rsidP="00E41B02">
                            <w:pPr>
                              <w:spacing w:after="0" w:line="240" w:lineRule="auto"/>
                              <w:jc w:val="center"/>
                              <w:rPr>
                                <w:b/>
                                <w:sz w:val="18"/>
                                <w:szCs w:val="18"/>
                              </w:rPr>
                            </w:pPr>
                            <w:r>
                              <w:rPr>
                                <w:b/>
                                <w:sz w:val="18"/>
                                <w:szCs w:val="18"/>
                              </w:rPr>
                              <w:t>Load-</w:t>
                            </w:r>
                            <w:r w:rsidR="00CB2016" w:rsidRPr="001D0009">
                              <w:rPr>
                                <w:b/>
                                <w:sz w:val="18"/>
                                <w:szCs w:val="18"/>
                              </w:rPr>
                              <w:t>Allocat</w:t>
                            </w:r>
                            <w:r>
                              <w:rPr>
                                <w:b/>
                                <w:sz w:val="18"/>
                                <w:szCs w:val="18"/>
                              </w:rPr>
                              <w:t xml:space="preserve">ed </w:t>
                            </w:r>
                            <w:r w:rsidR="005202D3">
                              <w:rPr>
                                <w:b/>
                                <w:sz w:val="18"/>
                                <w:szCs w:val="18"/>
                              </w:rPr>
                              <w:t xml:space="preserve">Reliability Deployment </w:t>
                            </w:r>
                            <w:r>
                              <w:rPr>
                                <w:b/>
                                <w:sz w:val="18"/>
                                <w:szCs w:val="18"/>
                              </w:rPr>
                              <w:t>Ancillary service Imbalance Revenue Neutrality per QSE</w:t>
                            </w:r>
                          </w:p>
                          <w:p w:rsidR="00CB2016" w:rsidRPr="001D0009" w:rsidRDefault="00CB2016" w:rsidP="00E41B02">
                            <w:pPr>
                              <w:spacing w:after="0" w:line="240" w:lineRule="auto"/>
                              <w:jc w:val="center"/>
                              <w:rPr>
                                <w:b/>
                                <w:sz w:val="18"/>
                                <w:szCs w:val="18"/>
                              </w:rPr>
                            </w:pPr>
                            <w:r w:rsidRPr="001D0009">
                              <w:rPr>
                                <w:b/>
                                <w:sz w:val="18"/>
                                <w:szCs w:val="18"/>
                              </w:rPr>
                              <w:t>(L</w:t>
                            </w:r>
                            <w:r w:rsidR="005202D3">
                              <w:rPr>
                                <w:b/>
                                <w:sz w:val="18"/>
                                <w:szCs w:val="18"/>
                              </w:rPr>
                              <w:t>ARDASIRNAMT</w:t>
                            </w:r>
                            <w:r w:rsidRPr="001D0009">
                              <w:rPr>
                                <w:b/>
                                <w:sz w:val="18"/>
                                <w:szCs w:val="18"/>
                              </w:rPr>
                              <w:t xml:space="preserve"> </w:t>
                            </w:r>
                            <w:r w:rsidRPr="001D0009">
                              <w:rPr>
                                <w:b/>
                                <w:sz w:val="18"/>
                                <w:szCs w:val="18"/>
                                <w:vertAlign w:val="subscript"/>
                              </w:rPr>
                              <w:t>q</w:t>
                            </w:r>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0" style="position:absolute;margin-left:12.75pt;margin-top:1.1pt;width:102.7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CB2016" w:rsidP="00E41B02">
                      <w:pPr>
                        <w:spacing w:after="0" w:line="240" w:lineRule="auto"/>
                        <w:jc w:val="center"/>
                        <w:rPr>
                          <w:b/>
                          <w:sz w:val="18"/>
                          <w:szCs w:val="18"/>
                        </w:rPr>
                      </w:pPr>
                      <w:r w:rsidRPr="001D0009">
                        <w:rPr>
                          <w:b/>
                          <w:sz w:val="18"/>
                          <w:szCs w:val="18"/>
                        </w:rPr>
                        <w:t>$</w:t>
                      </w:r>
                    </w:p>
                    <w:p w:rsidR="00CB2016" w:rsidRPr="001D0009" w:rsidRDefault="00D134EC" w:rsidP="00E41B02">
                      <w:pPr>
                        <w:spacing w:after="0" w:line="240" w:lineRule="auto"/>
                        <w:jc w:val="center"/>
                        <w:rPr>
                          <w:b/>
                          <w:sz w:val="18"/>
                          <w:szCs w:val="18"/>
                        </w:rPr>
                      </w:pPr>
                      <w:r>
                        <w:rPr>
                          <w:b/>
                          <w:sz w:val="18"/>
                          <w:szCs w:val="18"/>
                        </w:rPr>
                        <w:t>Load-</w:t>
                      </w:r>
                      <w:r w:rsidR="00CB2016" w:rsidRPr="001D0009">
                        <w:rPr>
                          <w:b/>
                          <w:sz w:val="18"/>
                          <w:szCs w:val="18"/>
                        </w:rPr>
                        <w:t>Allocat</w:t>
                      </w:r>
                      <w:r>
                        <w:rPr>
                          <w:b/>
                          <w:sz w:val="18"/>
                          <w:szCs w:val="18"/>
                        </w:rPr>
                        <w:t xml:space="preserve">ed </w:t>
                      </w:r>
                      <w:r w:rsidR="005202D3">
                        <w:rPr>
                          <w:b/>
                          <w:sz w:val="18"/>
                          <w:szCs w:val="18"/>
                        </w:rPr>
                        <w:t xml:space="preserve">Reliability Deployment </w:t>
                      </w:r>
                      <w:r>
                        <w:rPr>
                          <w:b/>
                          <w:sz w:val="18"/>
                          <w:szCs w:val="18"/>
                        </w:rPr>
                        <w:t>Ancillary service Imbalance Revenue Neutrality per QSE</w:t>
                      </w:r>
                    </w:p>
                    <w:p w:rsidR="00CB2016" w:rsidRPr="001D0009" w:rsidRDefault="00CB2016" w:rsidP="00E41B02">
                      <w:pPr>
                        <w:spacing w:after="0" w:line="240" w:lineRule="auto"/>
                        <w:jc w:val="center"/>
                        <w:rPr>
                          <w:b/>
                          <w:sz w:val="18"/>
                          <w:szCs w:val="18"/>
                        </w:rPr>
                      </w:pPr>
                      <w:r w:rsidRPr="001D0009">
                        <w:rPr>
                          <w:b/>
                          <w:sz w:val="18"/>
                          <w:szCs w:val="18"/>
                        </w:rPr>
                        <w:t>(L</w:t>
                      </w:r>
                      <w:r w:rsidR="005202D3">
                        <w:rPr>
                          <w:b/>
                          <w:sz w:val="18"/>
                          <w:szCs w:val="18"/>
                        </w:rPr>
                        <w:t>ARDASIRNAMT</w:t>
                      </w:r>
                      <w:r w:rsidRPr="001D0009">
                        <w:rPr>
                          <w:b/>
                          <w:sz w:val="18"/>
                          <w:szCs w:val="18"/>
                        </w:rPr>
                        <w:t xml:space="preserve"> </w:t>
                      </w:r>
                      <w:r w:rsidRPr="001D0009">
                        <w:rPr>
                          <w:b/>
                          <w:sz w:val="18"/>
                          <w:szCs w:val="18"/>
                          <w:vertAlign w:val="subscript"/>
                        </w:rPr>
                        <w:t>q</w:t>
                      </w:r>
                      <w:r w:rsidRPr="001D0009">
                        <w:rPr>
                          <w:b/>
                          <w:sz w:val="18"/>
                          <w:szCs w:val="18"/>
                        </w:rPr>
                        <w:t>)</w:t>
                      </w:r>
                    </w:p>
                  </w:txbxContent>
                </v:textbox>
              </v:rect>
            </w:pict>
          </mc:Fallback>
        </mc:AlternateContent>
      </w:r>
    </w:p>
    <w:p w:rsidR="00B111FF" w:rsidRDefault="00B111FF" w:rsidP="00BE208D">
      <w:pPr>
        <w:pStyle w:val="BodyText2"/>
        <w:ind w:left="0"/>
        <w:rPr>
          <w:rFonts w:ascii="Times New Roman" w:hAnsi="Times New Roman"/>
          <w:iCs/>
          <w:sz w:val="24"/>
        </w:rPr>
      </w:pPr>
    </w:p>
    <w:p w:rsidR="00B111FF" w:rsidRDefault="00B111FF" w:rsidP="00BE208D">
      <w:pPr>
        <w:pStyle w:val="BodyText2"/>
        <w:ind w:left="0"/>
        <w:rPr>
          <w:rFonts w:ascii="Times New Roman" w:hAnsi="Times New Roman"/>
          <w:iCs/>
          <w:sz w:val="24"/>
        </w:rPr>
      </w:pPr>
    </w:p>
    <w:p w:rsidR="00B111FF" w:rsidRPr="00BE208D" w:rsidRDefault="00B111FF" w:rsidP="00BE208D">
      <w:pPr>
        <w:pStyle w:val="BodyText2"/>
        <w:ind w:left="0"/>
        <w:rPr>
          <w:rFonts w:ascii="Times New Roman" w:hAnsi="Times New Roman"/>
          <w:iCs/>
          <w:sz w:val="24"/>
        </w:rPr>
      </w:pPr>
    </w:p>
    <w:p w:rsidR="00B111FF" w:rsidRDefault="00B111FF"/>
    <w:p w:rsidR="00C34767" w:rsidRPr="00C34767" w:rsidRDefault="00C34767">
      <w:pPr>
        <w:rPr>
          <w:rFonts w:ascii="Times New Roman" w:hAnsi="Times New Roman" w:cs="Times New Roman"/>
          <w:sz w:val="28"/>
          <w:szCs w:val="28"/>
        </w:rPr>
      </w:pPr>
      <w:r w:rsidRPr="00C34767">
        <w:rPr>
          <w:rFonts w:ascii="Times New Roman" w:hAnsi="Times New Roman" w:cs="Times New Roman"/>
          <w:sz w:val="28"/>
          <w:szCs w:val="28"/>
        </w:rPr>
        <w:t>Where:</w:t>
      </w:r>
    </w:p>
    <w:p w:rsidR="00C471FD" w:rsidRDefault="00E41B02">
      <w:pPr>
        <w:rPr>
          <w:rFonts w:ascii="Times New Roman" w:hAnsi="Times New Roman" w:cs="Times New Roman"/>
          <w:sz w:val="24"/>
          <w:szCs w:val="24"/>
        </w:rPr>
      </w:pPr>
      <w:r>
        <w:rPr>
          <w:noProof/>
        </w:rPr>
        <mc:AlternateContent>
          <mc:Choice Requires="wps">
            <w:drawing>
              <wp:anchor distT="0" distB="0" distL="114300" distR="114300" simplePos="0" relativeHeight="251665408" behindDoc="0" locked="0" layoutInCell="1" allowOverlap="1" wp14:anchorId="39887DA4" wp14:editId="4448BC7E">
                <wp:simplePos x="0" y="0"/>
                <wp:positionH relativeFrom="column">
                  <wp:posOffset>-76200</wp:posOffset>
                </wp:positionH>
                <wp:positionV relativeFrom="paragraph">
                  <wp:posOffset>504190</wp:posOffset>
                </wp:positionV>
                <wp:extent cx="8591550" cy="1409700"/>
                <wp:effectExtent l="0" t="0" r="19050"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409700"/>
                        </a:xfrm>
                        <a:prstGeom prst="rect">
                          <a:avLst/>
                        </a:prstGeom>
                        <a:solidFill>
                          <a:srgbClr val="FFFFFF"/>
                        </a:solidFill>
                        <a:ln w="9525">
                          <a:solidFill>
                            <a:srgbClr val="000000"/>
                          </a:solidFill>
                          <a:miter lim="800000"/>
                          <a:headEnd/>
                          <a:tailEnd/>
                        </a:ln>
                      </wps:spPr>
                      <wps:txb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r>
                            <w:r w:rsidR="00204A8D">
                              <w:rPr>
                                <w:sz w:val="48"/>
                                <w:szCs w:val="48"/>
                              </w:rPr>
                              <w:t xml:space="preserve"> </w:t>
                            </w:r>
                            <w:r w:rsidRPr="00383DEE">
                              <w:rPr>
                                <w:sz w:val="48"/>
                                <w:szCs w:val="48"/>
                              </w:rPr>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6pt;margin-top:39.7pt;width:676.5pt;height:1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">
                <v:textbo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r>
                      <w:r w:rsidR="00204A8D">
                        <w:rPr>
                          <w:sz w:val="48"/>
                          <w:szCs w:val="48"/>
                        </w:rPr>
                        <w:t xml:space="preserve"> </w:t>
                      </w:r>
                      <w:r w:rsidRPr="00383DEE">
                        <w:rPr>
                          <w:sz w:val="48"/>
                          <w:szCs w:val="48"/>
                        </w:rPr>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v:textbox>
              </v:shape>
            </w:pict>
          </mc:Fallback>
        </mc:AlternateContent>
      </w:r>
      <w:r w:rsidR="00B111FF">
        <w:rPr>
          <w:rFonts w:ascii="Times New Roman" w:hAnsi="Times New Roman" w:cs="Times New Roman"/>
          <w:sz w:val="24"/>
          <w:szCs w:val="24"/>
        </w:rPr>
        <w:t xml:space="preserve">Calculate the Real-Time </w:t>
      </w:r>
      <w:r w:rsidR="005202D3">
        <w:rPr>
          <w:rFonts w:ascii="Times New Roman" w:hAnsi="Times New Roman" w:cs="Times New Roman"/>
          <w:sz w:val="24"/>
          <w:szCs w:val="24"/>
        </w:rPr>
        <w:t xml:space="preserve">Reliability Deployment </w:t>
      </w:r>
      <w:r w:rsidR="00B111FF">
        <w:rPr>
          <w:rFonts w:ascii="Times New Roman" w:hAnsi="Times New Roman" w:cs="Times New Roman"/>
          <w:sz w:val="24"/>
          <w:szCs w:val="24"/>
        </w:rPr>
        <w:t xml:space="preserve">Ancillary Service Imbalance </w:t>
      </w:r>
      <w:r w:rsidR="00EC1AFF">
        <w:rPr>
          <w:rFonts w:ascii="Times New Roman" w:hAnsi="Times New Roman" w:cs="Times New Roman"/>
          <w:sz w:val="24"/>
          <w:szCs w:val="24"/>
        </w:rPr>
        <w:t xml:space="preserve">Market Total </w:t>
      </w:r>
      <w:r w:rsidR="00B111FF">
        <w:rPr>
          <w:rFonts w:ascii="Times New Roman" w:hAnsi="Times New Roman" w:cs="Times New Roman"/>
          <w:sz w:val="24"/>
          <w:szCs w:val="24"/>
        </w:rPr>
        <w:t xml:space="preserve">Amount for </w:t>
      </w:r>
      <w:r w:rsidR="005202D3">
        <w:rPr>
          <w:rFonts w:ascii="Times New Roman" w:hAnsi="Times New Roman" w:cs="Times New Roman"/>
          <w:sz w:val="24"/>
          <w:szCs w:val="24"/>
        </w:rPr>
        <w:t>t</w:t>
      </w:r>
      <w:r w:rsidR="00B111FF">
        <w:rPr>
          <w:rFonts w:ascii="Times New Roman" w:hAnsi="Times New Roman" w:cs="Times New Roman"/>
          <w:sz w:val="24"/>
          <w:szCs w:val="24"/>
        </w:rPr>
        <w:t xml:space="preserve">he operating day by summing up the Real-Time Ancillary Service </w:t>
      </w:r>
      <w:r w:rsidR="00EC1AFF">
        <w:rPr>
          <w:rFonts w:ascii="Times New Roman" w:hAnsi="Times New Roman" w:cs="Times New Roman"/>
          <w:sz w:val="24"/>
          <w:szCs w:val="24"/>
        </w:rPr>
        <w:t xml:space="preserve">Imbalance </w:t>
      </w:r>
      <w:r w:rsidR="00B111FF">
        <w:rPr>
          <w:rFonts w:ascii="Times New Roman" w:hAnsi="Times New Roman" w:cs="Times New Roman"/>
          <w:sz w:val="24"/>
          <w:szCs w:val="24"/>
        </w:rPr>
        <w:t>Amounts from all QSEs.</w:t>
      </w:r>
    </w:p>
    <w:p w:rsidR="00E41B02" w:rsidRDefault="00E41B02">
      <w:pPr>
        <w:rPr>
          <w:rFonts w:ascii="Times New Roman" w:hAnsi="Times New Roman" w:cs="Times New Roman"/>
          <w:sz w:val="24"/>
          <w:szCs w:val="24"/>
        </w:rPr>
      </w:pPr>
      <w:r>
        <w:rPr>
          <w:noProof/>
        </w:rPr>
        <mc:AlternateContent>
          <mc:Choice Requires="wps">
            <w:drawing>
              <wp:anchor distT="0" distB="0" distL="114300" distR="114300" simplePos="0" relativeHeight="251667456" behindDoc="0" locked="0" layoutInCell="1" allowOverlap="1" wp14:anchorId="1B3CEA68" wp14:editId="0AF95F57">
                <wp:simplePos x="0" y="0"/>
                <wp:positionH relativeFrom="column">
                  <wp:posOffset>2124075</wp:posOffset>
                </wp:positionH>
                <wp:positionV relativeFrom="paragraph">
                  <wp:posOffset>126365</wp:posOffset>
                </wp:positionV>
                <wp:extent cx="1304925" cy="1114425"/>
                <wp:effectExtent l="57150" t="57150" r="123825" b="123825"/>
                <wp:wrapNone/>
                <wp:docPr id="24" name="Text Box 24"/>
                <wp:cNvGraphicFramePr/>
                <a:graphic xmlns:a="http://schemas.openxmlformats.org/drawingml/2006/main">
                  <a:graphicData uri="http://schemas.microsoft.com/office/word/2010/wordprocessingShape">
                    <wps:wsp>
                      <wps:cNvSpPr txBox="1"/>
                      <wps:spPr>
                        <a:xfrm>
                          <a:off x="0" y="0"/>
                          <a:ext cx="1304925" cy="111442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Default="00E41B02" w:rsidP="00E41B02">
                            <w:pPr>
                              <w:spacing w:line="240" w:lineRule="auto"/>
                              <w:jc w:val="center"/>
                              <w:rPr>
                                <w:b/>
                                <w:sz w:val="18"/>
                                <w:szCs w:val="18"/>
                              </w:rPr>
                            </w:pPr>
                            <w:r>
                              <w:rPr>
                                <w:b/>
                                <w:sz w:val="18"/>
                                <w:szCs w:val="18"/>
                              </w:rPr>
                              <w:t>$</w:t>
                            </w:r>
                          </w:p>
                          <w:p w:rsidR="00D134EC" w:rsidRPr="00BE208D" w:rsidRDefault="00BE208D" w:rsidP="00E41B02">
                            <w:pPr>
                              <w:spacing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204A8D">
                              <w:rPr>
                                <w:b/>
                                <w:sz w:val="18"/>
                                <w:szCs w:val="18"/>
                              </w:rPr>
                              <w:t>RTRDASIAMT</w:t>
                            </w:r>
                            <w:r w:rsidR="00D134EC" w:rsidRPr="00DB1521">
                              <w:rPr>
                                <w:b/>
                                <w:sz w:val="18"/>
                                <w:szCs w:val="18"/>
                                <w:vertAlign w:val="subscript"/>
                              </w:rPr>
                              <w:t>q</w:t>
                            </w:r>
                            <w:proofErr w:type="spellEnd"/>
                            <w:r w:rsidR="00D134EC" w:rsidRPr="00BE208D">
                              <w:rPr>
                                <w:b/>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2" type="#_x0000_t202" style="position:absolute;margin-left:167.25pt;margin-top:9.95pt;width:102.75pt;height:8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" fillcolor="#27f82c [2404]" strokeweight="2.25pt">
                <v:fill color2="#27f82c [2404]" rotate="t" angle="270" colors="0 #86ff87;.5 #b6ffb6;1 #dbffdc" focus="100%" type="gradient"/>
                <v:shadow on="t" color="black" opacity="26214f" origin="-.5,-.5" offset=".74836mm,.74836mm"/>
                <v:textbox>
                  <w:txbxContent>
                    <w:p w:rsidR="00E41B02" w:rsidRDefault="00E41B02" w:rsidP="00E41B02">
                      <w:pPr>
                        <w:spacing w:line="240" w:lineRule="auto"/>
                        <w:jc w:val="center"/>
                        <w:rPr>
                          <w:b/>
                          <w:sz w:val="18"/>
                          <w:szCs w:val="18"/>
                        </w:rPr>
                      </w:pPr>
                      <w:r>
                        <w:rPr>
                          <w:b/>
                          <w:sz w:val="18"/>
                          <w:szCs w:val="18"/>
                        </w:rPr>
                        <w:t>$</w:t>
                      </w:r>
                    </w:p>
                    <w:p w:rsidR="00D134EC" w:rsidRPr="00BE208D" w:rsidRDefault="00BE208D" w:rsidP="00E41B02">
                      <w:pPr>
                        <w:spacing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204A8D">
                        <w:rPr>
                          <w:b/>
                          <w:sz w:val="18"/>
                          <w:szCs w:val="18"/>
                        </w:rPr>
                        <w:t>RTRDASIAMT</w:t>
                      </w:r>
                      <w:r w:rsidR="00D134EC" w:rsidRPr="00DB1521">
                        <w:rPr>
                          <w:b/>
                          <w:sz w:val="18"/>
                          <w:szCs w:val="18"/>
                          <w:vertAlign w:val="subscript"/>
                        </w:rPr>
                        <w:t>q</w:t>
                      </w:r>
                      <w:proofErr w:type="spellEnd"/>
                      <w:r w:rsidR="00D134EC" w:rsidRPr="00BE208D">
                        <w:rPr>
                          <w:b/>
                          <w:sz w:val="18"/>
                          <w:szCs w:val="18"/>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32C8199" wp14:editId="6D74AA0A">
                <wp:simplePos x="0" y="0"/>
                <wp:positionH relativeFrom="column">
                  <wp:posOffset>113665</wp:posOffset>
                </wp:positionH>
                <wp:positionV relativeFrom="paragraph">
                  <wp:posOffset>117475</wp:posOffset>
                </wp:positionV>
                <wp:extent cx="1285875" cy="1123950"/>
                <wp:effectExtent l="57150" t="57150" r="123825" b="114300"/>
                <wp:wrapNone/>
                <wp:docPr id="14" name="Text Box 14"/>
                <wp:cNvGraphicFramePr/>
                <a:graphic xmlns:a="http://schemas.openxmlformats.org/drawingml/2006/main">
                  <a:graphicData uri="http://schemas.microsoft.com/office/word/2010/wordprocessingShape">
                    <wps:wsp>
                      <wps:cNvSpPr txBox="1"/>
                      <wps:spPr>
                        <a:xfrm>
                          <a:off x="0" y="0"/>
                          <a:ext cx="1285875" cy="112395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w="28575">
                          <a:solidFill>
                            <a:schemeClr val="bg1"/>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Default="00E41B02"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 xml:space="preserve">Real-Time </w:t>
                            </w:r>
                            <w:r w:rsidR="00204A8D">
                              <w:rPr>
                                <w:b/>
                                <w:sz w:val="18"/>
                                <w:szCs w:val="18"/>
                              </w:rPr>
                              <w:t xml:space="preserve">Reliability Deployment </w:t>
                            </w:r>
                            <w:r w:rsidRPr="00BE208D">
                              <w:rPr>
                                <w:b/>
                                <w:sz w:val="18"/>
                                <w:szCs w:val="18"/>
                              </w:rPr>
                              <w:t>Ancillary Service Imbalance Market Total Amount</w:t>
                            </w:r>
                          </w:p>
                          <w:p w:rsidR="00D134EC" w:rsidRPr="00BE208D" w:rsidRDefault="00BE208D" w:rsidP="00BE208D">
                            <w:pPr>
                              <w:jc w:val="center"/>
                              <w:rPr>
                                <w:b/>
                              </w:rPr>
                            </w:pPr>
                            <w:r w:rsidRPr="00BE208D">
                              <w:rPr>
                                <w:b/>
                                <w:sz w:val="18"/>
                                <w:szCs w:val="18"/>
                              </w:rPr>
                              <w:t>(RT</w:t>
                            </w:r>
                            <w:r w:rsidR="00204A8D">
                              <w:rPr>
                                <w:b/>
                                <w:sz w:val="18"/>
                                <w:szCs w:val="18"/>
                              </w:rPr>
                              <w:t>RD</w:t>
                            </w:r>
                            <w:r w:rsidRPr="00BE208D">
                              <w:rPr>
                                <w:b/>
                                <w:sz w:val="18"/>
                                <w:szCs w:val="18"/>
                              </w:rPr>
                              <w:t>ASIAMTTOT)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3" type="#_x0000_t202" style="position:absolute;margin-left:8.95pt;margin-top:9.25pt;width:101.25pt;height:8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" fillcolor="#27f82c [2404]" strokecolor="black [3212]" strokeweight="2.25pt">
                <v:fill color2="#27f82c [2404]" rotate="t" angle="225" colors="0 #86ff87;.5 #b6ffb6;1 #dbffdc" focus="100%" type="gradient"/>
                <v:shadow on="t" color="black" opacity="26214f" origin="-.5,-.5" offset=".74836mm,.74836mm"/>
                <v:textbox>
                  <w:txbxContent>
                    <w:p w:rsidR="00E41B02" w:rsidRDefault="00E41B02"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 xml:space="preserve">Real-Time </w:t>
                      </w:r>
                      <w:r w:rsidR="00204A8D">
                        <w:rPr>
                          <w:b/>
                          <w:sz w:val="18"/>
                          <w:szCs w:val="18"/>
                        </w:rPr>
                        <w:t xml:space="preserve">Reliability Deployment </w:t>
                      </w:r>
                      <w:r w:rsidRPr="00BE208D">
                        <w:rPr>
                          <w:b/>
                          <w:sz w:val="18"/>
                          <w:szCs w:val="18"/>
                        </w:rPr>
                        <w:t>Ancillary Service Imbalance Market Total Amount</w:t>
                      </w:r>
                    </w:p>
                    <w:p w:rsidR="00D134EC" w:rsidRPr="00BE208D" w:rsidRDefault="00BE208D" w:rsidP="00BE208D">
                      <w:pPr>
                        <w:jc w:val="center"/>
                        <w:rPr>
                          <w:b/>
                        </w:rPr>
                      </w:pPr>
                      <w:r w:rsidRPr="00BE208D">
                        <w:rPr>
                          <w:b/>
                          <w:sz w:val="18"/>
                          <w:szCs w:val="18"/>
                        </w:rPr>
                        <w:t>(RT</w:t>
                      </w:r>
                      <w:r w:rsidR="00204A8D">
                        <w:rPr>
                          <w:b/>
                          <w:sz w:val="18"/>
                          <w:szCs w:val="18"/>
                        </w:rPr>
                        <w:t>RD</w:t>
                      </w:r>
                      <w:r w:rsidRPr="00BE208D">
                        <w:rPr>
                          <w:b/>
                          <w:sz w:val="18"/>
                          <w:szCs w:val="18"/>
                        </w:rPr>
                        <w:t>ASIAMTTOT)</w:t>
                      </w:r>
                    </w:p>
                  </w:txbxContent>
                </v:textbox>
              </v:shape>
            </w:pict>
          </mc:Fallback>
        </mc:AlternateContent>
      </w: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r>
        <w:rPr>
          <w:noProof/>
        </w:rPr>
        <mc:AlternateContent>
          <mc:Choice Requires="wps">
            <w:drawing>
              <wp:anchor distT="0" distB="0" distL="114300" distR="114300" simplePos="0" relativeHeight="251671552" behindDoc="0" locked="0" layoutInCell="1" allowOverlap="1">
                <wp:simplePos x="0" y="0"/>
                <wp:positionH relativeFrom="column">
                  <wp:posOffset>2143125</wp:posOffset>
                </wp:positionH>
                <wp:positionV relativeFrom="paragraph">
                  <wp:posOffset>714375</wp:posOffset>
                </wp:positionV>
                <wp:extent cx="1390650" cy="1104900"/>
                <wp:effectExtent l="57150" t="57150" r="114300" b="114300"/>
                <wp:wrapNone/>
                <wp:docPr id="7" name="Text Box 7"/>
                <wp:cNvGraphicFramePr/>
                <a:graphic xmlns:a="http://schemas.openxmlformats.org/drawingml/2006/main">
                  <a:graphicData uri="http://schemas.microsoft.com/office/word/2010/wordprocessingShape">
                    <wps:wsp>
                      <wps:cNvSpPr txBox="1"/>
                      <wps:spPr>
                        <a:xfrm>
                          <a:off x="0" y="0"/>
                          <a:ext cx="1390650" cy="11049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Pr="00DB1521" w:rsidRDefault="00E41B02" w:rsidP="00DB1521">
                            <w:pPr>
                              <w:spacing w:after="0" w:line="240" w:lineRule="auto"/>
                              <w:jc w:val="center"/>
                              <w:rPr>
                                <w:b/>
                                <w:sz w:val="18"/>
                                <w:szCs w:val="18"/>
                              </w:rPr>
                            </w:pPr>
                            <w:r w:rsidRPr="00DB1521">
                              <w:rPr>
                                <w:b/>
                                <w:sz w:val="18"/>
                                <w:szCs w:val="18"/>
                              </w:rPr>
                              <w:t>$</w:t>
                            </w:r>
                          </w:p>
                          <w:p w:rsidR="00E41B02" w:rsidRPr="00DB1521" w:rsidRDefault="00DB1521" w:rsidP="00DB1521">
                            <w:pPr>
                              <w:spacing w:after="0" w:line="240" w:lineRule="auto"/>
                              <w:jc w:val="center"/>
                              <w:rPr>
                                <w:b/>
                                <w:sz w:val="18"/>
                                <w:szCs w:val="18"/>
                              </w:rPr>
                            </w:pPr>
                            <w:r w:rsidRPr="00DB1521">
                              <w:rPr>
                                <w:b/>
                                <w:sz w:val="18"/>
                                <w:szCs w:val="18"/>
                              </w:rPr>
                              <w:t xml:space="preserve">Real-Time Reliability Deployment RUC Ancillary Service Reserve Amount </w:t>
                            </w:r>
                            <w:proofErr w:type="gramStart"/>
                            <w:r w:rsidRPr="00DB1521">
                              <w:rPr>
                                <w:b/>
                                <w:sz w:val="18"/>
                                <w:szCs w:val="18"/>
                              </w:rPr>
                              <w:t>Per</w:t>
                            </w:r>
                            <w:proofErr w:type="gramEnd"/>
                            <w:r w:rsidRPr="00DB1521">
                              <w:rPr>
                                <w:b/>
                                <w:sz w:val="18"/>
                                <w:szCs w:val="18"/>
                              </w:rPr>
                              <w:t xml:space="preserve"> QSE</w:t>
                            </w:r>
                          </w:p>
                          <w:p w:rsidR="00DB1521" w:rsidRDefault="00DB1521" w:rsidP="00DB1521">
                            <w:pPr>
                              <w:spacing w:line="240" w:lineRule="auto"/>
                              <w:jc w:val="center"/>
                            </w:pPr>
                            <w:r w:rsidRPr="00DB1521">
                              <w:rPr>
                                <w:b/>
                                <w:sz w:val="18"/>
                                <w:szCs w:val="18"/>
                              </w:rPr>
                              <w:t>(</w:t>
                            </w:r>
                            <w:proofErr w:type="spellStart"/>
                            <w:r w:rsidRPr="00DB1521">
                              <w:rPr>
                                <w:b/>
                                <w:sz w:val="18"/>
                                <w:szCs w:val="18"/>
                              </w:rPr>
                              <w:t>RTDRUCRSVAMTTOT</w:t>
                            </w:r>
                            <w:r w:rsidRPr="00DB1521">
                              <w:rPr>
                                <w:b/>
                                <w:sz w:val="18"/>
                                <w:szCs w:val="18"/>
                                <w:vertAlign w:val="subscript"/>
                              </w:rPr>
                              <w:t>q</w:t>
                            </w:r>
                            <w:proofErr w:type="spellEnd"/>
                            <w:r>
                              <w:t>)</w:t>
                            </w:r>
                          </w:p>
                          <w:p w:rsidR="00E41B02" w:rsidRDefault="00E41B02" w:rsidP="00E41B02">
                            <w:pPr>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4" type="#_x0000_t202" style="position:absolute;margin-left:168.75pt;margin-top:56.25pt;width:109.5pt;height: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" fillcolor="#27f82c [2404]" strokeweight="2.25pt">
                <v:fill color2="#27f82c [2404]" rotate="t" angle="270" colors="0 #86ff87;.5 #b6ffb6;1 #dbffdc" focus="100%" type="gradient"/>
                <v:shadow on="t" color="black" opacity="26214f" origin="-.5,-.5" offset=".74836mm,.74836mm"/>
                <v:textbox>
                  <w:txbxContent>
                    <w:p w:rsidR="00E41B02" w:rsidRPr="00DB1521" w:rsidRDefault="00E41B02" w:rsidP="00DB1521">
                      <w:pPr>
                        <w:spacing w:after="0" w:line="240" w:lineRule="auto"/>
                        <w:jc w:val="center"/>
                        <w:rPr>
                          <w:b/>
                          <w:sz w:val="18"/>
                          <w:szCs w:val="18"/>
                        </w:rPr>
                      </w:pPr>
                      <w:r w:rsidRPr="00DB1521">
                        <w:rPr>
                          <w:b/>
                          <w:sz w:val="18"/>
                          <w:szCs w:val="18"/>
                        </w:rPr>
                        <w:t>$</w:t>
                      </w:r>
                    </w:p>
                    <w:p w:rsidR="00E41B02" w:rsidRPr="00DB1521" w:rsidRDefault="00DB1521" w:rsidP="00DB1521">
                      <w:pPr>
                        <w:spacing w:after="0" w:line="240" w:lineRule="auto"/>
                        <w:jc w:val="center"/>
                        <w:rPr>
                          <w:b/>
                          <w:sz w:val="18"/>
                          <w:szCs w:val="18"/>
                        </w:rPr>
                      </w:pPr>
                      <w:r w:rsidRPr="00DB1521">
                        <w:rPr>
                          <w:b/>
                          <w:sz w:val="18"/>
                          <w:szCs w:val="18"/>
                        </w:rPr>
                        <w:t xml:space="preserve">Real-Time Reliability Deployment RUC Ancillary Service Reserve Amount </w:t>
                      </w:r>
                      <w:proofErr w:type="gramStart"/>
                      <w:r w:rsidRPr="00DB1521">
                        <w:rPr>
                          <w:b/>
                          <w:sz w:val="18"/>
                          <w:szCs w:val="18"/>
                        </w:rPr>
                        <w:t>Per</w:t>
                      </w:r>
                      <w:proofErr w:type="gramEnd"/>
                      <w:r w:rsidRPr="00DB1521">
                        <w:rPr>
                          <w:b/>
                          <w:sz w:val="18"/>
                          <w:szCs w:val="18"/>
                        </w:rPr>
                        <w:t xml:space="preserve"> QSE</w:t>
                      </w:r>
                    </w:p>
                    <w:p w:rsidR="00DB1521" w:rsidRDefault="00DB1521" w:rsidP="00DB1521">
                      <w:pPr>
                        <w:spacing w:line="240" w:lineRule="auto"/>
                        <w:jc w:val="center"/>
                      </w:pPr>
                      <w:r w:rsidRPr="00DB1521">
                        <w:rPr>
                          <w:b/>
                          <w:sz w:val="18"/>
                          <w:szCs w:val="18"/>
                        </w:rPr>
                        <w:t>(</w:t>
                      </w:r>
                      <w:proofErr w:type="spellStart"/>
                      <w:r w:rsidRPr="00DB1521">
                        <w:rPr>
                          <w:b/>
                          <w:sz w:val="18"/>
                          <w:szCs w:val="18"/>
                        </w:rPr>
                        <w:t>RTDRUCRSVAMTTOT</w:t>
                      </w:r>
                      <w:r w:rsidRPr="00DB1521">
                        <w:rPr>
                          <w:b/>
                          <w:sz w:val="18"/>
                          <w:szCs w:val="18"/>
                          <w:vertAlign w:val="subscript"/>
                        </w:rPr>
                        <w:t>q</w:t>
                      </w:r>
                      <w:proofErr w:type="spellEnd"/>
                      <w:r>
                        <w:t>)</w:t>
                      </w:r>
                    </w:p>
                    <w:p w:rsidR="00E41B02" w:rsidRDefault="00E41B02" w:rsidP="00E41B02">
                      <w:pPr>
                        <w:spacing w:line="240" w:lineRule="auto"/>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4B5F17D" wp14:editId="42FE2492">
                <wp:simplePos x="0" y="0"/>
                <wp:positionH relativeFrom="column">
                  <wp:posOffset>76200</wp:posOffset>
                </wp:positionH>
                <wp:positionV relativeFrom="paragraph">
                  <wp:posOffset>714375</wp:posOffset>
                </wp:positionV>
                <wp:extent cx="1295400" cy="1104900"/>
                <wp:effectExtent l="57150" t="57150" r="114300" b="114300"/>
                <wp:wrapNone/>
                <wp:docPr id="5" name="Text Box 5"/>
                <wp:cNvGraphicFramePr/>
                <a:graphic xmlns:a="http://schemas.openxmlformats.org/drawingml/2006/main">
                  <a:graphicData uri="http://schemas.microsoft.com/office/word/2010/wordprocessingShape">
                    <wps:wsp>
                      <wps:cNvSpPr txBox="1"/>
                      <wps:spPr>
                        <a:xfrm>
                          <a:off x="0" y="0"/>
                          <a:ext cx="1295400" cy="11049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Pr="00E41B02" w:rsidRDefault="00E41B02" w:rsidP="00E41B02">
                            <w:pPr>
                              <w:spacing w:after="0" w:line="240" w:lineRule="auto"/>
                              <w:jc w:val="center"/>
                              <w:rPr>
                                <w:b/>
                                <w:sz w:val="18"/>
                                <w:szCs w:val="18"/>
                              </w:rPr>
                            </w:pPr>
                            <w:r w:rsidRPr="00E41B02">
                              <w:rPr>
                                <w:b/>
                                <w:sz w:val="18"/>
                                <w:szCs w:val="18"/>
                              </w:rPr>
                              <w:t>$</w:t>
                            </w:r>
                          </w:p>
                          <w:p w:rsidR="00E41B02" w:rsidRDefault="00E41B02" w:rsidP="00E41B02">
                            <w:pPr>
                              <w:spacing w:after="0" w:line="240" w:lineRule="auto"/>
                              <w:jc w:val="center"/>
                              <w:rPr>
                                <w:b/>
                                <w:sz w:val="18"/>
                                <w:szCs w:val="18"/>
                              </w:rPr>
                            </w:pPr>
                            <w:r w:rsidRPr="00E41B02">
                              <w:rPr>
                                <w:b/>
                                <w:sz w:val="18"/>
                                <w:szCs w:val="18"/>
                              </w:rPr>
                              <w:t>Real-Time Reliability Deployment RUC Ancillary Service Reserve Market Total</w:t>
                            </w:r>
                            <w:r>
                              <w:rPr>
                                <w:b/>
                                <w:sz w:val="18"/>
                                <w:szCs w:val="18"/>
                              </w:rPr>
                              <w:t xml:space="preserve"> Amount</w:t>
                            </w:r>
                          </w:p>
                          <w:p w:rsidR="00E41B02" w:rsidRPr="00E41B02" w:rsidRDefault="00E41B02" w:rsidP="00E41B02">
                            <w:pPr>
                              <w:spacing w:after="0" w:line="240" w:lineRule="auto"/>
                              <w:jc w:val="center"/>
                              <w:rPr>
                                <w:b/>
                                <w:sz w:val="18"/>
                                <w:szCs w:val="18"/>
                              </w:rPr>
                            </w:pPr>
                            <w:r>
                              <w:rPr>
                                <w:b/>
                                <w:sz w:val="18"/>
                                <w:szCs w:val="18"/>
                              </w:rPr>
                              <w:t>(RTRDRUCRSVAMTOT)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5" type="#_x0000_t202" style="position:absolute;margin-left:6pt;margin-top:56.25pt;width:102pt;height: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" fillcolor="#27f82c [2404]" strokeweight="2.25pt">
                <v:fill color2="#27f82c [2404]" rotate="t" angle="270" colors="0 #86ff87;.5 #b6ffb6;1 #dbffdc" focus="100%" type="gradient"/>
                <v:shadow on="t" color="black" opacity="26214f" origin="-.5,-.5" offset=".74836mm,.74836mm"/>
                <v:textbox>
                  <w:txbxContent>
                    <w:p w:rsidR="00E41B02" w:rsidRPr="00E41B02" w:rsidRDefault="00E41B02" w:rsidP="00E41B02">
                      <w:pPr>
                        <w:spacing w:after="0" w:line="240" w:lineRule="auto"/>
                        <w:jc w:val="center"/>
                        <w:rPr>
                          <w:b/>
                          <w:sz w:val="18"/>
                          <w:szCs w:val="18"/>
                        </w:rPr>
                      </w:pPr>
                      <w:r w:rsidRPr="00E41B02">
                        <w:rPr>
                          <w:b/>
                          <w:sz w:val="18"/>
                          <w:szCs w:val="18"/>
                        </w:rPr>
                        <w:t>$</w:t>
                      </w:r>
                    </w:p>
                    <w:p w:rsidR="00E41B02" w:rsidRDefault="00E41B02" w:rsidP="00E41B02">
                      <w:pPr>
                        <w:spacing w:after="0" w:line="240" w:lineRule="auto"/>
                        <w:jc w:val="center"/>
                        <w:rPr>
                          <w:b/>
                          <w:sz w:val="18"/>
                          <w:szCs w:val="18"/>
                        </w:rPr>
                      </w:pPr>
                      <w:r w:rsidRPr="00E41B02">
                        <w:rPr>
                          <w:b/>
                          <w:sz w:val="18"/>
                          <w:szCs w:val="18"/>
                        </w:rPr>
                        <w:t>Real-Time Reliability Deployment RUC Ancillary Service Reserve Market Total</w:t>
                      </w:r>
                      <w:r>
                        <w:rPr>
                          <w:b/>
                          <w:sz w:val="18"/>
                          <w:szCs w:val="18"/>
                        </w:rPr>
                        <w:t xml:space="preserve"> Amount</w:t>
                      </w:r>
                    </w:p>
                    <w:p w:rsidR="00E41B02" w:rsidRPr="00E41B02" w:rsidRDefault="00E41B02" w:rsidP="00E41B02">
                      <w:pPr>
                        <w:spacing w:after="0" w:line="240" w:lineRule="auto"/>
                        <w:jc w:val="center"/>
                        <w:rPr>
                          <w:b/>
                          <w:sz w:val="18"/>
                          <w:szCs w:val="18"/>
                        </w:rPr>
                      </w:pPr>
                      <w:r>
                        <w:rPr>
                          <w:b/>
                          <w:sz w:val="18"/>
                          <w:szCs w:val="18"/>
                        </w:rPr>
                        <w:t>(RTRDRUCRSVAMTOT)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966212D" wp14:editId="5E13B28F">
                <wp:simplePos x="0" y="0"/>
                <wp:positionH relativeFrom="column">
                  <wp:posOffset>-47625</wp:posOffset>
                </wp:positionH>
                <wp:positionV relativeFrom="paragraph">
                  <wp:posOffset>514350</wp:posOffset>
                </wp:positionV>
                <wp:extent cx="8591550" cy="16954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695450"/>
                        </a:xfrm>
                        <a:prstGeom prst="rect">
                          <a:avLst/>
                        </a:prstGeom>
                        <a:solidFill>
                          <a:srgbClr val="FFFFFF"/>
                        </a:solidFill>
                        <a:ln w="9525">
                          <a:solidFill>
                            <a:srgbClr val="000000"/>
                          </a:solidFill>
                          <a:miter lim="800000"/>
                          <a:headEnd/>
                          <a:tailEnd/>
                        </a:ln>
                      </wps:spPr>
                      <wps:txbx>
                        <w:txbxContent>
                          <w:p w:rsidR="00E41B02" w:rsidRDefault="00E41B02" w:rsidP="00E41B02"/>
                          <w:p w:rsidR="00E41B02" w:rsidRDefault="00E41B02" w:rsidP="00E41B02">
                            <w:pPr>
                              <w:rPr>
                                <w:sz w:val="48"/>
                                <w:szCs w:val="48"/>
                              </w:rPr>
                            </w:pPr>
                            <w:r w:rsidRPr="00383DEE">
                              <w:rPr>
                                <w:sz w:val="48"/>
                                <w:szCs w:val="48"/>
                              </w:rPr>
                              <w:tab/>
                            </w:r>
                            <w:r w:rsidRPr="00383DEE">
                              <w:rPr>
                                <w:sz w:val="48"/>
                                <w:szCs w:val="48"/>
                              </w:rPr>
                              <w:tab/>
                            </w:r>
                            <w:r w:rsidRPr="00383DEE">
                              <w:rPr>
                                <w:sz w:val="48"/>
                                <w:szCs w:val="48"/>
                              </w:rPr>
                              <w:tab/>
                            </w:r>
                            <w:r>
                              <w:rPr>
                                <w:sz w:val="48"/>
                                <w:szCs w:val="48"/>
                              </w:rPr>
                              <w:t xml:space="preserve"> </w:t>
                            </w:r>
                            <w:r w:rsidRPr="00383DEE">
                              <w:rPr>
                                <w:sz w:val="48"/>
                                <w:szCs w:val="48"/>
                              </w:rPr>
                              <w:t xml:space="preserve">= </w:t>
                            </w:r>
                            <w:r>
                              <w:rPr>
                                <w:sz w:val="48"/>
                                <w:szCs w:val="48"/>
                              </w:rPr>
                              <w:t>∑</w:t>
                            </w:r>
                            <w:r>
                              <w:rPr>
                                <w:sz w:val="48"/>
                                <w:szCs w:val="48"/>
                                <w:vertAlign w:val="subscript"/>
                              </w:rPr>
                              <w:t>q</w:t>
                            </w:r>
                            <w:r>
                              <w:rPr>
                                <w:sz w:val="48"/>
                                <w:szCs w:val="48"/>
                              </w:rPr>
                              <w:t xml:space="preserve">  </w:t>
                            </w:r>
                          </w:p>
                          <w:p w:rsidR="00E41B02" w:rsidRDefault="00E41B02" w:rsidP="00E41B02">
                            <w:pPr>
                              <w:rPr>
                                <w:sz w:val="48"/>
                                <w:szCs w:val="48"/>
                              </w:rPr>
                            </w:pPr>
                          </w:p>
                          <w:p w:rsidR="00E41B02" w:rsidRPr="00383DEE" w:rsidRDefault="00E41B02" w:rsidP="00E41B02">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3.75pt;margin-top:40.5pt;width:676.5pt;height:1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">
                <v:textbox>
                  <w:txbxContent>
                    <w:p w:rsidR="00E41B02" w:rsidRDefault="00E41B02" w:rsidP="00E41B02"/>
                    <w:p w:rsidR="00E41B02" w:rsidRDefault="00E41B02" w:rsidP="00E41B02">
                      <w:pPr>
                        <w:rPr>
                          <w:sz w:val="48"/>
                          <w:szCs w:val="48"/>
                        </w:rPr>
                      </w:pPr>
                      <w:r w:rsidRPr="00383DEE">
                        <w:rPr>
                          <w:sz w:val="48"/>
                          <w:szCs w:val="48"/>
                        </w:rPr>
                        <w:tab/>
                      </w:r>
                      <w:r w:rsidRPr="00383DEE">
                        <w:rPr>
                          <w:sz w:val="48"/>
                          <w:szCs w:val="48"/>
                        </w:rPr>
                        <w:tab/>
                      </w:r>
                      <w:r w:rsidRPr="00383DEE">
                        <w:rPr>
                          <w:sz w:val="48"/>
                          <w:szCs w:val="48"/>
                        </w:rPr>
                        <w:tab/>
                      </w:r>
                      <w:r>
                        <w:rPr>
                          <w:sz w:val="48"/>
                          <w:szCs w:val="48"/>
                        </w:rPr>
                        <w:t xml:space="preserve"> </w:t>
                      </w:r>
                      <w:r w:rsidRPr="00383DEE">
                        <w:rPr>
                          <w:sz w:val="48"/>
                          <w:szCs w:val="48"/>
                        </w:rPr>
                        <w:t xml:space="preserve">= </w:t>
                      </w:r>
                      <w:r>
                        <w:rPr>
                          <w:sz w:val="48"/>
                          <w:szCs w:val="48"/>
                        </w:rPr>
                        <w:t>∑</w:t>
                      </w:r>
                      <w:r>
                        <w:rPr>
                          <w:sz w:val="48"/>
                          <w:szCs w:val="48"/>
                          <w:vertAlign w:val="subscript"/>
                        </w:rPr>
                        <w:t>q</w:t>
                      </w:r>
                      <w:r>
                        <w:rPr>
                          <w:sz w:val="48"/>
                          <w:szCs w:val="48"/>
                        </w:rPr>
                        <w:t xml:space="preserve">  </w:t>
                      </w:r>
                    </w:p>
                    <w:p w:rsidR="00E41B02" w:rsidRDefault="00E41B02" w:rsidP="00E41B02">
                      <w:pPr>
                        <w:rPr>
                          <w:sz w:val="48"/>
                          <w:szCs w:val="48"/>
                        </w:rPr>
                      </w:pPr>
                    </w:p>
                    <w:p w:rsidR="00E41B02" w:rsidRPr="00383DEE" w:rsidRDefault="00E41B02" w:rsidP="00E41B02">
                      <w:pPr>
                        <w:rPr>
                          <w:sz w:val="48"/>
                          <w:szCs w:val="48"/>
                        </w:rPr>
                      </w:pPr>
                      <w:r>
                        <w:rPr>
                          <w:sz w:val="48"/>
                          <w:szCs w:val="48"/>
                        </w:rPr>
                        <w:t xml:space="preserve"> </w:t>
                      </w:r>
                    </w:p>
                  </w:txbxContent>
                </v:textbox>
              </v:shape>
            </w:pict>
          </mc:Fallback>
        </mc:AlternateContent>
      </w:r>
      <w:r>
        <w:rPr>
          <w:rFonts w:ascii="Times New Roman" w:hAnsi="Times New Roman" w:cs="Times New Roman"/>
          <w:sz w:val="24"/>
          <w:szCs w:val="24"/>
        </w:rPr>
        <w:t xml:space="preserve">Calculate the Real-Time Reliability Deployment </w:t>
      </w:r>
      <w:r w:rsidR="00EC1AFF">
        <w:rPr>
          <w:rFonts w:ascii="Times New Roman" w:hAnsi="Times New Roman" w:cs="Times New Roman"/>
          <w:sz w:val="24"/>
          <w:szCs w:val="24"/>
        </w:rPr>
        <w:t xml:space="preserve">RUC </w:t>
      </w:r>
      <w:r>
        <w:rPr>
          <w:rFonts w:ascii="Times New Roman" w:hAnsi="Times New Roman" w:cs="Times New Roman"/>
          <w:sz w:val="24"/>
          <w:szCs w:val="24"/>
        </w:rPr>
        <w:t>Ancillary Service</w:t>
      </w:r>
      <w:r w:rsidR="00EC1AFF">
        <w:rPr>
          <w:rFonts w:ascii="Times New Roman" w:hAnsi="Times New Roman" w:cs="Times New Roman"/>
          <w:sz w:val="24"/>
          <w:szCs w:val="24"/>
        </w:rPr>
        <w:t xml:space="preserve"> Reserve Market Total Amount</w:t>
      </w:r>
      <w:r>
        <w:rPr>
          <w:rFonts w:ascii="Times New Roman" w:hAnsi="Times New Roman" w:cs="Times New Roman"/>
          <w:sz w:val="24"/>
          <w:szCs w:val="24"/>
        </w:rPr>
        <w:t xml:space="preserve"> Total for the operating day by summing up the Real-Time </w:t>
      </w:r>
      <w:r w:rsidR="00EC1AFF">
        <w:rPr>
          <w:rFonts w:ascii="Times New Roman" w:hAnsi="Times New Roman" w:cs="Times New Roman"/>
          <w:sz w:val="24"/>
          <w:szCs w:val="24"/>
        </w:rPr>
        <w:t xml:space="preserve">Reliability Deployment RUC </w:t>
      </w:r>
      <w:r>
        <w:rPr>
          <w:rFonts w:ascii="Times New Roman" w:hAnsi="Times New Roman" w:cs="Times New Roman"/>
          <w:sz w:val="24"/>
          <w:szCs w:val="24"/>
        </w:rPr>
        <w:t>Ancillary Service Amounts from all QSEs.</w:t>
      </w: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814"/>
        <w:gridCol w:w="7150"/>
        <w:gridCol w:w="1127"/>
        <w:gridCol w:w="1170"/>
        <w:gridCol w:w="1170"/>
      </w:tblGrid>
      <w:tr w:rsidR="00901B1D" w:rsidTr="00901B1D">
        <w:trPr>
          <w:tblHeader/>
        </w:trPr>
        <w:tc>
          <w:tcPr>
            <w:tcW w:w="800" w:type="pct"/>
          </w:tcPr>
          <w:p w:rsidR="00901B1D" w:rsidRPr="00CE4C14" w:rsidRDefault="00901B1D" w:rsidP="00EE65E8">
            <w:pPr>
              <w:pStyle w:val="TableHead"/>
            </w:pPr>
            <w:r w:rsidRPr="00CE4C14">
              <w:t>Variable</w:t>
            </w:r>
          </w:p>
        </w:tc>
        <w:tc>
          <w:tcPr>
            <w:tcW w:w="299" w:type="pct"/>
          </w:tcPr>
          <w:p w:rsidR="00901B1D" w:rsidRPr="00CE4C14" w:rsidRDefault="00901B1D" w:rsidP="00EE65E8">
            <w:pPr>
              <w:pStyle w:val="TableHead"/>
            </w:pPr>
            <w:r w:rsidRPr="00CE4C14">
              <w:t>Unit</w:t>
            </w:r>
          </w:p>
        </w:tc>
        <w:tc>
          <w:tcPr>
            <w:tcW w:w="2627" w:type="pct"/>
          </w:tcPr>
          <w:p w:rsidR="00901B1D" w:rsidRPr="00CE4C14" w:rsidRDefault="00901B1D" w:rsidP="00EE65E8">
            <w:pPr>
              <w:pStyle w:val="TableHead"/>
            </w:pPr>
            <w:r w:rsidRPr="00CE4C14">
              <w:t>Definition</w:t>
            </w:r>
          </w:p>
        </w:tc>
        <w:tc>
          <w:tcPr>
            <w:tcW w:w="414" w:type="pct"/>
          </w:tcPr>
          <w:p w:rsidR="00901B1D" w:rsidRPr="00CE4C14" w:rsidRDefault="00901B1D" w:rsidP="00EE65E8">
            <w:pPr>
              <w:pStyle w:val="TableHead"/>
            </w:pPr>
            <w:r>
              <w:t>Interval Frequency</w:t>
            </w:r>
          </w:p>
        </w:tc>
        <w:tc>
          <w:tcPr>
            <w:tcW w:w="430" w:type="pct"/>
          </w:tcPr>
          <w:p w:rsidR="00901B1D" w:rsidRPr="00CE4C14" w:rsidRDefault="00901B1D" w:rsidP="00EE65E8">
            <w:pPr>
              <w:pStyle w:val="TableHead"/>
            </w:pPr>
            <w:r>
              <w:t>Source</w:t>
            </w:r>
          </w:p>
        </w:tc>
        <w:tc>
          <w:tcPr>
            <w:tcW w:w="430" w:type="pct"/>
          </w:tcPr>
          <w:p w:rsidR="00901B1D" w:rsidRPr="00CE4C14" w:rsidRDefault="00901B1D" w:rsidP="00EE65E8">
            <w:pPr>
              <w:pStyle w:val="TableHead"/>
            </w:pPr>
            <w:r>
              <w:t>Shadow-able</w:t>
            </w:r>
          </w:p>
        </w:tc>
      </w:tr>
      <w:tr w:rsidR="00901B1D" w:rsidTr="00901B1D">
        <w:tc>
          <w:tcPr>
            <w:tcW w:w="800" w:type="pct"/>
          </w:tcPr>
          <w:p w:rsidR="00901B1D" w:rsidRPr="00CE4C14" w:rsidRDefault="00901B1D" w:rsidP="00EE65E8">
            <w:pPr>
              <w:pStyle w:val="TableBody"/>
            </w:pPr>
            <w:r w:rsidRPr="00CE4C14">
              <w:t>LA</w:t>
            </w:r>
            <w:r>
              <w:t>RD</w:t>
            </w:r>
            <w:r w:rsidRPr="00CE4C14">
              <w:t xml:space="preserve">ASIRNAMT </w:t>
            </w:r>
            <w:r w:rsidRPr="000275BF">
              <w:rPr>
                <w:i/>
                <w:vertAlign w:val="subscript"/>
              </w:rPr>
              <w:t>q</w:t>
            </w:r>
          </w:p>
        </w:tc>
        <w:tc>
          <w:tcPr>
            <w:tcW w:w="299" w:type="pct"/>
          </w:tcPr>
          <w:p w:rsidR="00901B1D" w:rsidRPr="00CE4C14" w:rsidRDefault="00901B1D" w:rsidP="00EE65E8">
            <w:pPr>
              <w:pStyle w:val="TableBody"/>
            </w:pPr>
            <w:r w:rsidRPr="00CE4C14">
              <w:t>$</w:t>
            </w:r>
          </w:p>
        </w:tc>
        <w:tc>
          <w:tcPr>
            <w:tcW w:w="2627" w:type="pct"/>
          </w:tcPr>
          <w:p w:rsidR="00901B1D" w:rsidRPr="00CE4C14" w:rsidRDefault="00901B1D" w:rsidP="00EE65E8">
            <w:pPr>
              <w:pStyle w:val="TableBody"/>
            </w:pPr>
            <w:r w:rsidRPr="00CE4C14">
              <w:rPr>
                <w:i/>
              </w:rPr>
              <w:t xml:space="preserve">Load-Allocated </w:t>
            </w:r>
            <w:r>
              <w:rPr>
                <w:i/>
              </w:rPr>
              <w:t xml:space="preserve">Reliability Deployment </w:t>
            </w:r>
            <w:r w:rsidRPr="00CE4C14">
              <w:rPr>
                <w:i/>
              </w:rPr>
              <w:t>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Reliability Deployments </w:t>
            </w:r>
            <w:r w:rsidRPr="00CE4C14">
              <w:t>for the 15-minute Settlement Interval.</w:t>
            </w:r>
          </w:p>
        </w:tc>
        <w:tc>
          <w:tcPr>
            <w:tcW w:w="414" w:type="pct"/>
          </w:tcPr>
          <w:p w:rsidR="00901B1D" w:rsidRPr="00CE4C14" w:rsidRDefault="00901B1D" w:rsidP="00901B1D">
            <w:pPr>
              <w:pStyle w:val="TableBody"/>
              <w:rPr>
                <w:i/>
              </w:rPr>
            </w:pPr>
            <w:r>
              <w:rPr>
                <w:i/>
              </w:rPr>
              <w:t>4/hour</w:t>
            </w:r>
          </w:p>
        </w:tc>
        <w:tc>
          <w:tcPr>
            <w:tcW w:w="430" w:type="pct"/>
          </w:tcPr>
          <w:p w:rsidR="00901B1D" w:rsidRPr="00CE4C14" w:rsidRDefault="00901B1D" w:rsidP="00EE65E8">
            <w:pPr>
              <w:pStyle w:val="TableBody"/>
              <w:rPr>
                <w:i/>
              </w:rPr>
            </w:pPr>
            <w:r>
              <w:rPr>
                <w:i/>
              </w:rPr>
              <w:t>Calculated</w:t>
            </w:r>
          </w:p>
        </w:tc>
        <w:tc>
          <w:tcPr>
            <w:tcW w:w="430" w:type="pct"/>
          </w:tcPr>
          <w:p w:rsidR="00901B1D" w:rsidRPr="00CE4C14" w:rsidRDefault="00901B1D" w:rsidP="00EE65E8">
            <w:pPr>
              <w:pStyle w:val="TableBody"/>
              <w:rPr>
                <w:i/>
              </w:rPr>
            </w:pPr>
            <w:r>
              <w:rPr>
                <w:i/>
              </w:rPr>
              <w:t>Yes</w:t>
            </w:r>
          </w:p>
        </w:tc>
      </w:tr>
      <w:tr w:rsidR="00901B1D" w:rsidTr="00901B1D">
        <w:tc>
          <w:tcPr>
            <w:tcW w:w="800" w:type="pct"/>
          </w:tcPr>
          <w:p w:rsidR="00901B1D" w:rsidRPr="00CE4C14" w:rsidRDefault="00901B1D" w:rsidP="00EE65E8">
            <w:pPr>
              <w:pStyle w:val="TableBody"/>
            </w:pPr>
            <w:r>
              <w:t>RTRDASIAMTTOT</w:t>
            </w:r>
          </w:p>
        </w:tc>
        <w:tc>
          <w:tcPr>
            <w:tcW w:w="299" w:type="pct"/>
          </w:tcPr>
          <w:p w:rsidR="00901B1D" w:rsidRPr="00CE4C14" w:rsidRDefault="00901B1D" w:rsidP="00EE65E8">
            <w:pPr>
              <w:pStyle w:val="TableBody"/>
            </w:pPr>
            <w:r>
              <w:t>$</w:t>
            </w:r>
          </w:p>
        </w:tc>
        <w:tc>
          <w:tcPr>
            <w:tcW w:w="2627" w:type="pct"/>
          </w:tcPr>
          <w:p w:rsidR="00901B1D" w:rsidRPr="00CE4C14" w:rsidRDefault="00901B1D" w:rsidP="00EE65E8">
            <w:pPr>
              <w:pStyle w:val="TableBody"/>
              <w:rPr>
                <w:i/>
              </w:rPr>
            </w:pPr>
            <w:r w:rsidRPr="0080555B">
              <w:rPr>
                <w:i/>
              </w:rPr>
              <w:t xml:space="preserve">Real-Time </w:t>
            </w:r>
            <w:r>
              <w:rPr>
                <w:i/>
              </w:rPr>
              <w:t xml:space="preserve">Reliability Deployment </w:t>
            </w:r>
            <w:r w:rsidRPr="0080555B">
              <w:rPr>
                <w:i/>
              </w:rPr>
              <w:t xml:space="preserve">Ancillary Service Imbalance </w:t>
            </w:r>
            <w:r>
              <w:rPr>
                <w:i/>
              </w:rPr>
              <w:t xml:space="preserve">Market Total </w:t>
            </w:r>
            <w:r w:rsidRPr="0080555B">
              <w:rPr>
                <w:i/>
              </w:rPr>
              <w:t>Amount</w:t>
            </w:r>
            <w:r w:rsidRPr="0080555B">
              <w:t>—</w:t>
            </w:r>
            <w:r w:rsidRPr="0080555B">
              <w:rPr>
                <w:iCs w:val="0"/>
              </w:rPr>
              <w:t>The total payment o</w:t>
            </w:r>
            <w:r>
              <w:rPr>
                <w:iCs w:val="0"/>
              </w:rPr>
              <w:t xml:space="preserve">r charge to all QSEs </w:t>
            </w:r>
            <w:r w:rsidRPr="0080555B">
              <w:t xml:space="preserve">for the Real-Time Ancillary Service imbalance </w:t>
            </w:r>
            <w:r>
              <w:t xml:space="preserve">associated with Reliability Deployments </w:t>
            </w:r>
            <w:r w:rsidRPr="0080555B">
              <w:rPr>
                <w:iCs w:val="0"/>
              </w:rPr>
              <w:t>for each 15-minute Settlement Interval.</w:t>
            </w:r>
          </w:p>
        </w:tc>
        <w:tc>
          <w:tcPr>
            <w:tcW w:w="414" w:type="pct"/>
          </w:tcPr>
          <w:p w:rsidR="00901B1D" w:rsidRPr="00901B1D" w:rsidRDefault="00901B1D" w:rsidP="00901B1D">
            <w:pPr>
              <w:pStyle w:val="TableBody"/>
            </w:pPr>
            <w:r w:rsidRPr="00901B1D">
              <w:t>4/hour</w:t>
            </w:r>
          </w:p>
        </w:tc>
        <w:tc>
          <w:tcPr>
            <w:tcW w:w="430" w:type="pct"/>
          </w:tcPr>
          <w:p w:rsidR="00901B1D" w:rsidRPr="00901B1D" w:rsidRDefault="00901B1D" w:rsidP="00EE65E8">
            <w:pPr>
              <w:pStyle w:val="TableBody"/>
            </w:pPr>
            <w:r w:rsidRPr="00901B1D">
              <w:t>ERCOT</w:t>
            </w:r>
          </w:p>
        </w:tc>
        <w:tc>
          <w:tcPr>
            <w:tcW w:w="430" w:type="pct"/>
          </w:tcPr>
          <w:p w:rsidR="00901B1D" w:rsidRPr="00901B1D" w:rsidRDefault="00901B1D" w:rsidP="00EE65E8">
            <w:pPr>
              <w:pStyle w:val="TableBody"/>
            </w:pPr>
            <w:r w:rsidRPr="00901B1D">
              <w:t>No</w:t>
            </w:r>
          </w:p>
        </w:tc>
      </w:tr>
      <w:tr w:rsidR="00901B1D" w:rsidTr="00901B1D">
        <w:tc>
          <w:tcPr>
            <w:tcW w:w="800" w:type="pct"/>
          </w:tcPr>
          <w:p w:rsidR="00901B1D" w:rsidRPr="00CE4C14" w:rsidRDefault="00901B1D" w:rsidP="00EE65E8">
            <w:pPr>
              <w:pStyle w:val="TableBody"/>
            </w:pPr>
            <w:r>
              <w:t xml:space="preserve">RTRDASIAMT </w:t>
            </w:r>
            <w:r>
              <w:rPr>
                <w:i/>
                <w:vertAlign w:val="subscript"/>
              </w:rPr>
              <w:t>q</w:t>
            </w:r>
          </w:p>
        </w:tc>
        <w:tc>
          <w:tcPr>
            <w:tcW w:w="299" w:type="pct"/>
          </w:tcPr>
          <w:p w:rsidR="00901B1D" w:rsidRPr="00CE4C14" w:rsidRDefault="00901B1D" w:rsidP="00EE65E8">
            <w:pPr>
              <w:pStyle w:val="TableBody"/>
            </w:pPr>
            <w:r>
              <w:t>$</w:t>
            </w:r>
          </w:p>
        </w:tc>
        <w:tc>
          <w:tcPr>
            <w:tcW w:w="2627" w:type="pct"/>
          </w:tcPr>
          <w:p w:rsidR="00901B1D" w:rsidRPr="00CE4C14" w:rsidRDefault="00901B1D" w:rsidP="00EE65E8">
            <w:pPr>
              <w:pStyle w:val="TableBody"/>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val="0"/>
              </w:rPr>
              <w:t xml:space="preserve">The total payment or charge to QSE </w:t>
            </w:r>
            <w:r w:rsidRPr="0080555B">
              <w:rPr>
                <w:i/>
                <w:iCs w:val="0"/>
              </w:rPr>
              <w:t>q</w:t>
            </w:r>
            <w:r w:rsidRPr="0080555B">
              <w:rPr>
                <w:iCs w:val="0"/>
              </w:rPr>
              <w:t xml:space="preserve"> </w:t>
            </w:r>
            <w:r w:rsidRPr="0080555B">
              <w:t xml:space="preserve">for the Real-Time Ancillary Service imbalance </w:t>
            </w:r>
            <w:r>
              <w:t xml:space="preserve">associated with Reliability Deployments </w:t>
            </w:r>
            <w:r w:rsidRPr="0080555B">
              <w:rPr>
                <w:iCs w:val="0"/>
              </w:rPr>
              <w:t>for each 15-minute Settlement Interval.</w:t>
            </w:r>
          </w:p>
        </w:tc>
        <w:tc>
          <w:tcPr>
            <w:tcW w:w="414" w:type="pct"/>
          </w:tcPr>
          <w:p w:rsidR="00901B1D" w:rsidRPr="00901B1D" w:rsidRDefault="00901B1D" w:rsidP="00EE65E8">
            <w:pPr>
              <w:pStyle w:val="TableBody"/>
            </w:pPr>
            <w:r w:rsidRPr="00901B1D">
              <w:t>4/hour</w:t>
            </w:r>
          </w:p>
        </w:tc>
        <w:tc>
          <w:tcPr>
            <w:tcW w:w="430" w:type="pct"/>
          </w:tcPr>
          <w:p w:rsidR="00901B1D" w:rsidRPr="00901B1D" w:rsidRDefault="00901B1D" w:rsidP="00EE65E8">
            <w:pPr>
              <w:pStyle w:val="TableBody"/>
            </w:pPr>
            <w:r w:rsidRPr="00901B1D">
              <w:t>ERCOT</w:t>
            </w:r>
          </w:p>
        </w:tc>
        <w:tc>
          <w:tcPr>
            <w:tcW w:w="430" w:type="pct"/>
          </w:tcPr>
          <w:p w:rsidR="00901B1D" w:rsidRPr="00901B1D" w:rsidRDefault="00901B1D" w:rsidP="00EE65E8">
            <w:pPr>
              <w:pStyle w:val="TableBody"/>
            </w:pPr>
            <w:r w:rsidRPr="00901B1D">
              <w:t>No</w:t>
            </w:r>
          </w:p>
        </w:tc>
      </w:tr>
      <w:tr w:rsidR="00901B1D" w:rsidTr="00901B1D">
        <w:tc>
          <w:tcPr>
            <w:tcW w:w="800" w:type="pct"/>
          </w:tcPr>
          <w:p w:rsidR="00901B1D" w:rsidRPr="00CE4C14" w:rsidRDefault="00901B1D" w:rsidP="00EE65E8">
            <w:pPr>
              <w:pStyle w:val="TableBody"/>
            </w:pPr>
            <w:r>
              <w:t>RTRDRUCRSVAMTTOT</w:t>
            </w:r>
          </w:p>
        </w:tc>
        <w:tc>
          <w:tcPr>
            <w:tcW w:w="299" w:type="pct"/>
          </w:tcPr>
          <w:p w:rsidR="00901B1D" w:rsidRPr="00CE4C14" w:rsidRDefault="00901B1D" w:rsidP="00EE65E8">
            <w:pPr>
              <w:pStyle w:val="TableBody"/>
            </w:pPr>
            <w:r>
              <w:t>$</w:t>
            </w:r>
          </w:p>
        </w:tc>
        <w:tc>
          <w:tcPr>
            <w:tcW w:w="2627" w:type="pct"/>
          </w:tcPr>
          <w:p w:rsidR="00901B1D" w:rsidRPr="00CE4C14" w:rsidRDefault="00901B1D" w:rsidP="00EE65E8">
            <w:pPr>
              <w:pStyle w:val="TableBody"/>
            </w:pPr>
            <w:r>
              <w:rPr>
                <w:i/>
              </w:rPr>
              <w:t>Real-Time Reliability Deployment RUC Ancillary Service Reserve Market Total Amount</w:t>
            </w:r>
            <w:r w:rsidRPr="004368B4">
              <w:t>—</w:t>
            </w:r>
            <w:r w:rsidRPr="00997DBF">
              <w:rPr>
                <w:iCs w:val="0"/>
              </w:rPr>
              <w:t xml:space="preserve">The total payment </w:t>
            </w:r>
            <w:r>
              <w:rPr>
                <w:iCs w:val="0"/>
              </w:rPr>
              <w:t xml:space="preserve">|to all QSEs </w:t>
            </w:r>
            <w:r w:rsidRPr="00997DBF">
              <w:t xml:space="preserve">for </w:t>
            </w:r>
            <w:r>
              <w:t>the Real-Time RUC Ancillary Service Reserve payment as a result of Reliability Deployments</w:t>
            </w:r>
            <w:r w:rsidRPr="00997DBF">
              <w:t xml:space="preserve"> </w:t>
            </w:r>
            <w:r w:rsidRPr="00997DBF">
              <w:rPr>
                <w:iCs w:val="0"/>
              </w:rPr>
              <w:t>for each 15-minute Settlement Interval.</w:t>
            </w:r>
          </w:p>
        </w:tc>
        <w:tc>
          <w:tcPr>
            <w:tcW w:w="414" w:type="pct"/>
          </w:tcPr>
          <w:p w:rsidR="00901B1D" w:rsidRPr="00901B1D" w:rsidRDefault="00901B1D" w:rsidP="00086525">
            <w:pPr>
              <w:pStyle w:val="TableBody"/>
            </w:pPr>
            <w:r w:rsidRPr="00901B1D">
              <w:t>4/hour</w:t>
            </w:r>
          </w:p>
        </w:tc>
        <w:tc>
          <w:tcPr>
            <w:tcW w:w="430" w:type="pct"/>
          </w:tcPr>
          <w:p w:rsidR="00901B1D" w:rsidRPr="00901B1D" w:rsidRDefault="00901B1D" w:rsidP="00086525">
            <w:pPr>
              <w:pStyle w:val="TableBody"/>
            </w:pPr>
            <w:r w:rsidRPr="00901B1D">
              <w:t>ERCOT</w:t>
            </w:r>
          </w:p>
        </w:tc>
        <w:tc>
          <w:tcPr>
            <w:tcW w:w="430" w:type="pct"/>
          </w:tcPr>
          <w:p w:rsidR="00901B1D" w:rsidRPr="00901B1D" w:rsidRDefault="00901B1D" w:rsidP="00086525">
            <w:pPr>
              <w:pStyle w:val="TableBody"/>
            </w:pPr>
            <w:r w:rsidRPr="00901B1D">
              <w:t>No</w:t>
            </w:r>
          </w:p>
        </w:tc>
      </w:tr>
      <w:tr w:rsidR="00901B1D" w:rsidTr="00901B1D">
        <w:tc>
          <w:tcPr>
            <w:tcW w:w="800" w:type="pct"/>
          </w:tcPr>
          <w:p w:rsidR="00901B1D" w:rsidRPr="00CE4C14" w:rsidRDefault="00901B1D" w:rsidP="00EE65E8">
            <w:pPr>
              <w:pStyle w:val="TableBody"/>
            </w:pPr>
            <w:r w:rsidRPr="00407DDC">
              <w:lastRenderedPageBreak/>
              <w:t>RT</w:t>
            </w:r>
            <w:r>
              <w:t>RD</w:t>
            </w:r>
            <w:r w:rsidRPr="00407DDC">
              <w:t>RUCRSV</w:t>
            </w:r>
            <w:r>
              <w:t>A</w:t>
            </w:r>
            <w:r w:rsidRPr="00407DDC">
              <w:t xml:space="preserve">MT </w:t>
            </w:r>
            <w:r w:rsidRPr="0080555B">
              <w:rPr>
                <w:i/>
                <w:vertAlign w:val="subscript"/>
              </w:rPr>
              <w:t>q</w:t>
            </w:r>
          </w:p>
        </w:tc>
        <w:tc>
          <w:tcPr>
            <w:tcW w:w="299" w:type="pct"/>
          </w:tcPr>
          <w:p w:rsidR="00901B1D" w:rsidRPr="00CE4C14" w:rsidRDefault="00901B1D" w:rsidP="00EE65E8">
            <w:pPr>
              <w:pStyle w:val="TableBody"/>
            </w:pPr>
            <w:r>
              <w:t>$</w:t>
            </w:r>
          </w:p>
        </w:tc>
        <w:tc>
          <w:tcPr>
            <w:tcW w:w="2627" w:type="pct"/>
          </w:tcPr>
          <w:p w:rsidR="00901B1D" w:rsidRPr="00CE4C14" w:rsidRDefault="00901B1D" w:rsidP="00EE65E8">
            <w:pPr>
              <w:pStyle w:val="TableBody"/>
              <w:rPr>
                <w:i/>
              </w:rPr>
            </w:pPr>
            <w:r>
              <w:rPr>
                <w:i/>
              </w:rPr>
              <w:t>Real-Time Reliability Deployment RUC Ancillary Service Reserve Amount</w:t>
            </w:r>
            <w:r w:rsidRPr="004368B4">
              <w:t>—</w:t>
            </w:r>
            <w:r w:rsidRPr="00997DBF">
              <w:rPr>
                <w:iCs w:val="0"/>
              </w:rPr>
              <w:t xml:space="preserve">The total payment </w:t>
            </w:r>
            <w:r>
              <w:rPr>
                <w:iCs w:val="0"/>
              </w:rPr>
              <w:t>|</w:t>
            </w:r>
            <w:r w:rsidRPr="00997DBF">
              <w:rPr>
                <w:iCs w:val="0"/>
              </w:rPr>
              <w:t xml:space="preserve">to QSE </w:t>
            </w:r>
            <w:r w:rsidRPr="00672F2C">
              <w:rPr>
                <w:i/>
                <w:iCs w:val="0"/>
              </w:rPr>
              <w:t>q</w:t>
            </w:r>
            <w:r w:rsidRPr="00997DBF">
              <w:rPr>
                <w:iCs w:val="0"/>
              </w:rPr>
              <w:t xml:space="preserve"> </w:t>
            </w:r>
            <w:r w:rsidRPr="00997DBF">
              <w:t xml:space="preserve">for </w:t>
            </w:r>
            <w:r>
              <w:t>the Real-Time RUC Ancillary Service Reserve payment as a result of Reliability Deployments</w:t>
            </w:r>
            <w:r w:rsidRPr="00997DBF">
              <w:t xml:space="preserve"> </w:t>
            </w:r>
            <w:r w:rsidRPr="00997DBF">
              <w:rPr>
                <w:iCs w:val="0"/>
              </w:rPr>
              <w:t>for each 15-minute Settlement Interval.</w:t>
            </w:r>
          </w:p>
        </w:tc>
        <w:tc>
          <w:tcPr>
            <w:tcW w:w="414" w:type="pct"/>
          </w:tcPr>
          <w:p w:rsidR="00901B1D" w:rsidRPr="00901B1D" w:rsidRDefault="00901B1D" w:rsidP="00086525">
            <w:pPr>
              <w:pStyle w:val="TableBody"/>
            </w:pPr>
            <w:r w:rsidRPr="00901B1D">
              <w:t>4/hour</w:t>
            </w:r>
          </w:p>
        </w:tc>
        <w:tc>
          <w:tcPr>
            <w:tcW w:w="430" w:type="pct"/>
          </w:tcPr>
          <w:p w:rsidR="00901B1D" w:rsidRPr="00901B1D" w:rsidRDefault="00901B1D" w:rsidP="00086525">
            <w:pPr>
              <w:pStyle w:val="TableBody"/>
            </w:pPr>
            <w:r w:rsidRPr="00901B1D">
              <w:t>ERCOT</w:t>
            </w:r>
          </w:p>
        </w:tc>
        <w:tc>
          <w:tcPr>
            <w:tcW w:w="430" w:type="pct"/>
          </w:tcPr>
          <w:p w:rsidR="00901B1D" w:rsidRPr="00901B1D" w:rsidRDefault="00901B1D" w:rsidP="00086525">
            <w:pPr>
              <w:pStyle w:val="TableBody"/>
            </w:pPr>
            <w:r w:rsidRPr="00901B1D">
              <w:t>No</w:t>
            </w:r>
          </w:p>
        </w:tc>
        <w:bookmarkStart w:id="0" w:name="_GoBack"/>
        <w:bookmarkEnd w:id="0"/>
      </w:tr>
      <w:tr w:rsidR="00901B1D" w:rsidTr="00901B1D">
        <w:tc>
          <w:tcPr>
            <w:tcW w:w="800" w:type="pct"/>
          </w:tcPr>
          <w:p w:rsidR="00901B1D" w:rsidRPr="00213B85" w:rsidRDefault="00901B1D" w:rsidP="00EE65E8">
            <w:pPr>
              <w:pStyle w:val="TableBody"/>
            </w:pPr>
            <w:r w:rsidRPr="00CE4C14">
              <w:t xml:space="preserve">LRS </w:t>
            </w:r>
            <w:r w:rsidRPr="00CE4C14">
              <w:rPr>
                <w:i/>
                <w:vertAlign w:val="subscript"/>
              </w:rPr>
              <w:t>q</w:t>
            </w:r>
          </w:p>
        </w:tc>
        <w:tc>
          <w:tcPr>
            <w:tcW w:w="299" w:type="pct"/>
          </w:tcPr>
          <w:p w:rsidR="00901B1D" w:rsidRPr="00CE4C14" w:rsidRDefault="00901B1D" w:rsidP="00EE65E8">
            <w:pPr>
              <w:pStyle w:val="TableBody"/>
            </w:pPr>
            <w:r w:rsidRPr="00CE4C14">
              <w:t>none</w:t>
            </w:r>
          </w:p>
        </w:tc>
        <w:tc>
          <w:tcPr>
            <w:tcW w:w="2627" w:type="pct"/>
          </w:tcPr>
          <w:p w:rsidR="00901B1D" w:rsidRPr="00CE4C14" w:rsidRDefault="00901B1D" w:rsidP="00EE65E8">
            <w:pPr>
              <w:pStyle w:val="TableBody"/>
              <w:rPr>
                <w:i/>
              </w:rPr>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c>
          <w:tcPr>
            <w:tcW w:w="414" w:type="pct"/>
          </w:tcPr>
          <w:p w:rsidR="00901B1D" w:rsidRPr="00901B1D" w:rsidRDefault="00901B1D" w:rsidP="00086525">
            <w:pPr>
              <w:pStyle w:val="TableBody"/>
            </w:pPr>
            <w:r w:rsidRPr="00901B1D">
              <w:t>4/hour</w:t>
            </w:r>
          </w:p>
        </w:tc>
        <w:tc>
          <w:tcPr>
            <w:tcW w:w="430" w:type="pct"/>
          </w:tcPr>
          <w:p w:rsidR="00901B1D" w:rsidRPr="00901B1D" w:rsidRDefault="00901B1D" w:rsidP="00086525">
            <w:pPr>
              <w:pStyle w:val="TableBody"/>
            </w:pPr>
            <w:r>
              <w:t>Calculated</w:t>
            </w:r>
          </w:p>
        </w:tc>
        <w:tc>
          <w:tcPr>
            <w:tcW w:w="430" w:type="pct"/>
          </w:tcPr>
          <w:p w:rsidR="00901B1D" w:rsidRPr="00901B1D" w:rsidRDefault="00901B1D" w:rsidP="00086525">
            <w:pPr>
              <w:pStyle w:val="TableBody"/>
            </w:pPr>
            <w:r>
              <w:t>Yes</w:t>
            </w:r>
          </w:p>
        </w:tc>
      </w:tr>
      <w:tr w:rsidR="00901B1D" w:rsidTr="00901B1D">
        <w:tc>
          <w:tcPr>
            <w:tcW w:w="800" w:type="pct"/>
          </w:tcPr>
          <w:p w:rsidR="00901B1D" w:rsidRPr="00CE4C14" w:rsidRDefault="00901B1D" w:rsidP="00EE65E8">
            <w:pPr>
              <w:pStyle w:val="TableBody"/>
            </w:pPr>
            <w:r w:rsidRPr="000275BF">
              <w:rPr>
                <w:i/>
              </w:rPr>
              <w:t>q</w:t>
            </w:r>
          </w:p>
        </w:tc>
        <w:tc>
          <w:tcPr>
            <w:tcW w:w="299" w:type="pct"/>
          </w:tcPr>
          <w:p w:rsidR="00901B1D" w:rsidRPr="00CE4C14" w:rsidRDefault="00901B1D" w:rsidP="00EE65E8">
            <w:pPr>
              <w:pStyle w:val="TableBody"/>
            </w:pPr>
            <w:r w:rsidRPr="00CE4C14">
              <w:t>none</w:t>
            </w:r>
          </w:p>
        </w:tc>
        <w:tc>
          <w:tcPr>
            <w:tcW w:w="2627" w:type="pct"/>
          </w:tcPr>
          <w:p w:rsidR="00901B1D" w:rsidRPr="00CE4C14" w:rsidRDefault="00901B1D" w:rsidP="00EE65E8">
            <w:pPr>
              <w:pStyle w:val="TableBody"/>
              <w:rPr>
                <w:i/>
              </w:rPr>
            </w:pPr>
            <w:r w:rsidRPr="00CE4C14">
              <w:t>A QSE.</w:t>
            </w:r>
          </w:p>
        </w:tc>
        <w:tc>
          <w:tcPr>
            <w:tcW w:w="414" w:type="pct"/>
          </w:tcPr>
          <w:p w:rsidR="00901B1D" w:rsidRPr="00CE4C14" w:rsidRDefault="00901B1D" w:rsidP="00EE65E8">
            <w:pPr>
              <w:pStyle w:val="TableBody"/>
            </w:pPr>
          </w:p>
        </w:tc>
        <w:tc>
          <w:tcPr>
            <w:tcW w:w="430" w:type="pct"/>
          </w:tcPr>
          <w:p w:rsidR="00901B1D" w:rsidRPr="00CE4C14" w:rsidRDefault="00901B1D" w:rsidP="00EE65E8">
            <w:pPr>
              <w:pStyle w:val="TableBody"/>
            </w:pPr>
          </w:p>
        </w:tc>
        <w:tc>
          <w:tcPr>
            <w:tcW w:w="430" w:type="pct"/>
          </w:tcPr>
          <w:p w:rsidR="00901B1D" w:rsidRPr="00CE4C14" w:rsidRDefault="00901B1D" w:rsidP="00EE65E8">
            <w:pPr>
              <w:pStyle w:val="TableBody"/>
            </w:pPr>
          </w:p>
        </w:tc>
      </w:tr>
    </w:tbl>
    <w:p w:rsidR="00DA1068" w:rsidRPr="00B111FF" w:rsidRDefault="00DA1068">
      <w:pPr>
        <w:rPr>
          <w:rFonts w:ascii="Times New Roman" w:hAnsi="Times New Roman" w:cs="Times New Roman"/>
          <w:sz w:val="24"/>
          <w:szCs w:val="24"/>
        </w:rPr>
      </w:pPr>
    </w:p>
    <w:sectPr w:rsidR="00DA1068" w:rsidRPr="00B111FF" w:rsidSect="00CB20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192"/>
    <w:multiLevelType w:val="multilevel"/>
    <w:tmpl w:val="F90E359E"/>
    <w:lvl w:ilvl="0">
      <w:start w:val="6"/>
      <w:numFmt w:val="decimal"/>
      <w:lvlText w:val="%1"/>
      <w:lvlJc w:val="left"/>
      <w:pPr>
        <w:ind w:left="465" w:hanging="465"/>
      </w:pPr>
      <w:rPr>
        <w:rFonts w:hint="default"/>
      </w:rPr>
    </w:lvl>
    <w:lvl w:ilvl="1">
      <w:start w:val="1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225D1300"/>
    <w:multiLevelType w:val="multilevel"/>
    <w:tmpl w:val="2B2A67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39CB4FFB"/>
    <w:multiLevelType w:val="multilevel"/>
    <w:tmpl w:val="3F0AC25C"/>
    <w:lvl w:ilvl="0">
      <w:start w:val="6"/>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4AF5005"/>
    <w:multiLevelType w:val="multilevel"/>
    <w:tmpl w:val="7FE61822"/>
    <w:lvl w:ilvl="0">
      <w:start w:val="1"/>
      <w:numFmt w:val="decimal"/>
      <w:pStyle w:val="Heading1"/>
      <w:lvlText w:val="%1.0"/>
      <w:lvlJc w:val="left"/>
      <w:pPr>
        <w:tabs>
          <w:tab w:val="num" w:pos="720"/>
        </w:tabs>
        <w:ind w:left="1440" w:hanging="144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nsid w:val="67F20C09"/>
    <w:multiLevelType w:val="multilevel"/>
    <w:tmpl w:val="C67032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16"/>
    <w:rsid w:val="00120F80"/>
    <w:rsid w:val="001D0009"/>
    <w:rsid w:val="00204A8D"/>
    <w:rsid w:val="00321039"/>
    <w:rsid w:val="00383DEE"/>
    <w:rsid w:val="004D4E0C"/>
    <w:rsid w:val="005202D3"/>
    <w:rsid w:val="005723C8"/>
    <w:rsid w:val="006C0A9F"/>
    <w:rsid w:val="006F3527"/>
    <w:rsid w:val="00741038"/>
    <w:rsid w:val="00901B1D"/>
    <w:rsid w:val="00A53747"/>
    <w:rsid w:val="00B111FF"/>
    <w:rsid w:val="00B74944"/>
    <w:rsid w:val="00BE208D"/>
    <w:rsid w:val="00C22349"/>
    <w:rsid w:val="00C34767"/>
    <w:rsid w:val="00C471FD"/>
    <w:rsid w:val="00CB2016"/>
    <w:rsid w:val="00D134EC"/>
    <w:rsid w:val="00DA1068"/>
    <w:rsid w:val="00DA3A3B"/>
    <w:rsid w:val="00DB1521"/>
    <w:rsid w:val="00E41B02"/>
    <w:rsid w:val="00E85A9D"/>
    <w:rsid w:val="00EC1AFF"/>
    <w:rsid w:val="00F73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DA1068"/>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DA1068"/>
    <w:pPr>
      <w:spacing w:line="240" w:lineRule="auto"/>
    </w:pPr>
    <w:rPr>
      <w:rFonts w:ascii="Times New Roman" w:eastAsia="Times New Roman" w:hAnsi="Times New Roman" w:cs="Times New Roman"/>
      <w:b/>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DA1068"/>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DA1068"/>
    <w:pPr>
      <w:spacing w:line="240" w:lineRule="auto"/>
    </w:pPr>
    <w:rPr>
      <w:rFonts w:ascii="Times New Roman" w:eastAsia="Times New Roman" w:hAnsi="Times New Roman" w:cs="Times New Roman"/>
      <w:b/>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ustom 6">
      <a:dk1>
        <a:sysClr val="windowText" lastClr="000000"/>
      </a:dk1>
      <a:lt1>
        <a:srgbClr val="000000"/>
      </a:lt1>
      <a:dk2>
        <a:srgbClr val="000000"/>
      </a:dk2>
      <a:lt2>
        <a:srgbClr val="000000"/>
      </a:lt2>
      <a:accent1>
        <a:srgbClr val="85FB88"/>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NRGAdmin</dc:creator>
  <cp:lastModifiedBy>Lookadoo, Heddie</cp:lastModifiedBy>
  <cp:revision>10</cp:revision>
  <cp:lastPrinted>2015-02-17T13:06:00Z</cp:lastPrinted>
  <dcterms:created xsi:type="dcterms:W3CDTF">2017-07-20T15:19:00Z</dcterms:created>
  <dcterms:modified xsi:type="dcterms:W3CDTF">2017-08-24T11:13:00Z</dcterms:modified>
</cp:coreProperties>
</file>