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7479B" w14:textId="77777777" w:rsidR="00230A62" w:rsidRPr="00230A62" w:rsidRDefault="00230A62" w:rsidP="00230A62">
      <w:pPr>
        <w:jc w:val="center"/>
        <w:rPr>
          <w:u w:val="single"/>
        </w:rPr>
      </w:pPr>
      <w:r w:rsidRPr="00230A62">
        <w:rPr>
          <w:u w:val="single"/>
        </w:rPr>
        <w:t>SCT Determination Summary for Directive 8, PFR requirement only</w:t>
      </w:r>
    </w:p>
    <w:p w14:paraId="30B2F747" w14:textId="47610B5F" w:rsidR="00230A62" w:rsidRDefault="00230A62">
      <w:r w:rsidRPr="00230A62">
        <w:rPr>
          <w:u w:val="single"/>
        </w:rPr>
        <w:t>Date</w:t>
      </w:r>
      <w:r w:rsidR="00555BC4">
        <w:t xml:space="preserve">:  </w:t>
      </w:r>
      <w:r w:rsidR="00F52191">
        <w:t>1/12</w:t>
      </w:r>
      <w:r w:rsidR="00F2797E">
        <w:t>/2018</w:t>
      </w:r>
    </w:p>
    <w:p w14:paraId="5CC51CD5" w14:textId="0B24AAA5" w:rsidR="00230A62" w:rsidRDefault="00230A62">
      <w:r w:rsidRPr="00230A62">
        <w:rPr>
          <w:u w:val="single"/>
        </w:rPr>
        <w:t>Market stakeholder input</w:t>
      </w:r>
      <w:r>
        <w:t>: PDCWG 10/11/2017</w:t>
      </w:r>
      <w:r w:rsidR="00F2797E">
        <w:t xml:space="preserve">, </w:t>
      </w:r>
      <w:r>
        <w:t>11/8/2017</w:t>
      </w:r>
      <w:r w:rsidR="00F2797E">
        <w:t>, 1/12/2018</w:t>
      </w:r>
      <w:r w:rsidR="005916C7">
        <w:t>, 2/14/2018</w:t>
      </w:r>
      <w:r w:rsidR="008F51AB">
        <w:t>, ROS 3/1/2018</w:t>
      </w:r>
    </w:p>
    <w:p w14:paraId="3884DA3E" w14:textId="77777777" w:rsidR="001A1FC6" w:rsidRDefault="00A33164">
      <w:pPr>
        <w:rPr>
          <w:bCs/>
        </w:rPr>
      </w:pPr>
      <w:r>
        <w:rPr>
          <w:u w:val="single"/>
        </w:rPr>
        <w:t>PDCWG action</w:t>
      </w:r>
      <w:r>
        <w:t xml:space="preserve">: </w:t>
      </w:r>
      <w:r w:rsidR="001A1FC6">
        <w:rPr>
          <w:bCs/>
        </w:rPr>
        <w:t>On 12/13</w:t>
      </w:r>
      <w:r w:rsidR="001A1FC6" w:rsidRPr="00FF31B1">
        <w:rPr>
          <w:bCs/>
        </w:rPr>
        <w:t xml:space="preserve">/17, PDCWG discussed this topic.  This document was amended </w:t>
      </w:r>
      <w:r w:rsidR="001A1FC6">
        <w:rPr>
          <w:bCs/>
        </w:rPr>
        <w:t xml:space="preserve">based on </w:t>
      </w:r>
      <w:r w:rsidR="001A1FC6" w:rsidRPr="00FF31B1">
        <w:rPr>
          <w:bCs/>
        </w:rPr>
        <w:t xml:space="preserve">additional input.  </w:t>
      </w:r>
      <w:r w:rsidR="001A1FC6">
        <w:rPr>
          <w:bCs/>
        </w:rPr>
        <w:t xml:space="preserve">On 01/12/18, PDCWG discussed this topic and reviewed this document.  No further action was taken.  On 2/14/18, PDCWG voted to endorse this Directive 8, PFR determination.  </w:t>
      </w:r>
    </w:p>
    <w:p w14:paraId="40ED69C5" w14:textId="5BB54773" w:rsidR="00EC28F7" w:rsidRDefault="00EC28F7">
      <w:r>
        <w:rPr>
          <w:u w:val="single"/>
        </w:rPr>
        <w:t>ROS action</w:t>
      </w:r>
      <w:r>
        <w:t xml:space="preserve">: </w:t>
      </w:r>
      <w:r>
        <w:rPr>
          <w:bCs/>
        </w:rPr>
        <w:t xml:space="preserve">On 3/1/18, ROS </w:t>
      </w:r>
      <w:r w:rsidR="00B052DD">
        <w:rPr>
          <w:bCs/>
        </w:rPr>
        <w:t xml:space="preserve">discussed this topic and reviewed this document.  No further action was taken. </w:t>
      </w:r>
      <w:r>
        <w:rPr>
          <w:bCs/>
        </w:rPr>
        <w:t xml:space="preserve"> </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14:paraId="3833AB8A" w14:textId="7777777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0F00082" w14:textId="77777777" w:rsidR="009C4E17" w:rsidRPr="009C4E17" w:rsidRDefault="009C4E17" w:rsidP="009C4E17">
            <w:r w:rsidRPr="009C4E17">
              <w:rPr>
                <w:b/>
                <w:bCs/>
              </w:rPr>
              <w:t>Directive #8 - Frequency response and voltage support</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625028A2" w14:textId="77777777" w:rsidR="009C4E17" w:rsidRPr="009C4E17" w:rsidRDefault="009C4E17" w:rsidP="009C4E17">
            <w:r w:rsidRPr="009C4E17">
              <w:rPr>
                <w:b/>
                <w:bCs/>
              </w:rPr>
              <w:t>ERCOT shall (a) study and determine whether Southern Cross Transmission or any other entity scheduling flows across the Southern Cross DC tie should be required to provide or procure voltage support service or primary frequency response, or their technical equivalents, (b) implement any necessary revisions to its standards, guides, systems, and protocols, as appropriate, and (c) certify to the Commission when it has completed these actions.</w:t>
            </w:r>
          </w:p>
        </w:tc>
      </w:tr>
    </w:tbl>
    <w:p w14:paraId="31489B0F" w14:textId="77777777" w:rsidR="009C4E17" w:rsidRDefault="009C4E17"/>
    <w:p w14:paraId="497164B1" w14:textId="70385DF9" w:rsidR="00DA0FFE" w:rsidRDefault="00D02BFF" w:rsidP="00DA0FFE">
      <w:pPr>
        <w:pStyle w:val="ListParagraph"/>
        <w:numPr>
          <w:ilvl w:val="0"/>
          <w:numId w:val="1"/>
        </w:numPr>
        <w:rPr>
          <w:b/>
          <w:i/>
          <w:color w:val="FF0000"/>
        </w:rPr>
      </w:pPr>
      <w:r w:rsidRPr="00AC7A1C">
        <w:rPr>
          <w:b/>
          <w:i/>
          <w:color w:val="FF0000"/>
        </w:rPr>
        <w:t xml:space="preserve">Determination: </w:t>
      </w:r>
      <w:r w:rsidR="009C4E17" w:rsidRPr="00AC7A1C">
        <w:rPr>
          <w:b/>
          <w:i/>
          <w:color w:val="FF0000"/>
        </w:rPr>
        <w:t>Regarding frequency response</w:t>
      </w:r>
      <w:r w:rsidRPr="00AC7A1C">
        <w:rPr>
          <w:b/>
          <w:i/>
          <w:color w:val="FF0000"/>
        </w:rPr>
        <w:t xml:space="preserve"> in Directive 8</w:t>
      </w:r>
      <w:r w:rsidR="009C4E17" w:rsidRPr="00AC7A1C">
        <w:rPr>
          <w:b/>
          <w:i/>
          <w:color w:val="FF0000"/>
        </w:rPr>
        <w:t xml:space="preserve">, </w:t>
      </w:r>
      <w:r w:rsidR="005518A8">
        <w:rPr>
          <w:b/>
          <w:i/>
          <w:color w:val="FF0000"/>
        </w:rPr>
        <w:t xml:space="preserve">currently </w:t>
      </w:r>
      <w:r w:rsidR="00EB7E90" w:rsidRPr="00AC7A1C">
        <w:rPr>
          <w:b/>
          <w:i/>
          <w:color w:val="FF0000"/>
        </w:rPr>
        <w:t>ERCOT</w:t>
      </w:r>
      <w:r w:rsidR="00CF2660">
        <w:rPr>
          <w:b/>
          <w:i/>
          <w:color w:val="FF0000"/>
        </w:rPr>
        <w:t xml:space="preserve"> and PDCWG members</w:t>
      </w:r>
      <w:r w:rsidR="00EB7E90" w:rsidRPr="00AC7A1C">
        <w:rPr>
          <w:b/>
          <w:i/>
          <w:color w:val="FF0000"/>
        </w:rPr>
        <w:t xml:space="preserve"> </w:t>
      </w:r>
      <w:r w:rsidR="005518A8">
        <w:rPr>
          <w:b/>
          <w:i/>
          <w:color w:val="FF0000"/>
        </w:rPr>
        <w:t xml:space="preserve">do not see the need for the </w:t>
      </w:r>
      <w:r w:rsidR="00EB7E90" w:rsidRPr="00AC7A1C">
        <w:rPr>
          <w:b/>
          <w:i/>
          <w:color w:val="FF0000"/>
        </w:rPr>
        <w:t>SCT DC Tie</w:t>
      </w:r>
      <w:r w:rsidR="0033413A" w:rsidRPr="00AC7A1C">
        <w:rPr>
          <w:b/>
          <w:i/>
          <w:color w:val="FF0000"/>
        </w:rPr>
        <w:t xml:space="preserve"> </w:t>
      </w:r>
      <w:r w:rsidRPr="00AC7A1C">
        <w:rPr>
          <w:b/>
          <w:i/>
          <w:color w:val="FF0000"/>
        </w:rPr>
        <w:t>or entities scheduling across the DC Ti</w:t>
      </w:r>
      <w:r w:rsidR="005518A8">
        <w:rPr>
          <w:b/>
          <w:i/>
          <w:color w:val="FF0000"/>
        </w:rPr>
        <w:t>e to provide governor-like frequency response</w:t>
      </w:r>
      <w:r w:rsidR="00834941">
        <w:rPr>
          <w:b/>
          <w:i/>
          <w:color w:val="FF0000"/>
        </w:rPr>
        <w:t>.</w:t>
      </w:r>
    </w:p>
    <w:p w14:paraId="11ABFC7C" w14:textId="77777777" w:rsidR="00CB15E3" w:rsidRDefault="00CB15E3" w:rsidP="00CB15E3">
      <w:pPr>
        <w:pStyle w:val="ListParagraph"/>
        <w:rPr>
          <w:b/>
          <w:i/>
          <w:color w:val="FF0000"/>
        </w:rPr>
      </w:pPr>
    </w:p>
    <w:p w14:paraId="1E30B6C4" w14:textId="77777777" w:rsidR="00EB7E90" w:rsidRPr="00481F9D" w:rsidRDefault="00481F9D" w:rsidP="00EB7E90">
      <w:pPr>
        <w:pStyle w:val="ListParagraph"/>
        <w:numPr>
          <w:ilvl w:val="1"/>
          <w:numId w:val="1"/>
        </w:numPr>
        <w:rPr>
          <w:u w:val="single"/>
        </w:rPr>
      </w:pPr>
      <w:r w:rsidRPr="00481F9D">
        <w:rPr>
          <w:u w:val="single"/>
        </w:rPr>
        <w:t xml:space="preserve">Technical reasons for </w:t>
      </w:r>
      <w:r w:rsidR="00230A62">
        <w:rPr>
          <w:u w:val="single"/>
        </w:rPr>
        <w:t xml:space="preserve">determination </w:t>
      </w:r>
      <w:r w:rsidRPr="00481F9D">
        <w:rPr>
          <w:u w:val="single"/>
        </w:rPr>
        <w:t xml:space="preserve">of </w:t>
      </w:r>
      <w:r w:rsidR="005B7592" w:rsidRPr="00481F9D">
        <w:rPr>
          <w:u w:val="single"/>
        </w:rPr>
        <w:t>no PFR requirement</w:t>
      </w:r>
    </w:p>
    <w:p w14:paraId="4DE03639" w14:textId="46E76DC1" w:rsidR="007F0867" w:rsidRDefault="007F0867" w:rsidP="00D448F8">
      <w:pPr>
        <w:pStyle w:val="ListParagraph"/>
        <w:numPr>
          <w:ilvl w:val="2"/>
          <w:numId w:val="1"/>
        </w:numPr>
      </w:pPr>
      <w:r>
        <w:t>Every Generator (except Nuclear and older wind turbines exempted by ERCOT</w:t>
      </w:r>
      <w:r w:rsidR="005711C6">
        <w:t>, and including capacity that certain generators have that is not frequency responsive</w:t>
      </w:r>
      <w:r>
        <w:t xml:space="preserve">) in ERCOT </w:t>
      </w:r>
      <w:r w:rsidR="00744EB3">
        <w:t>is required</w:t>
      </w:r>
      <w:r>
        <w:t xml:space="preserve"> to have their Governor </w:t>
      </w:r>
      <w:r w:rsidR="005711C6">
        <w:t xml:space="preserve">in-service </w:t>
      </w:r>
      <w:r>
        <w:t xml:space="preserve">and must </w:t>
      </w:r>
      <w:proofErr w:type="gramStart"/>
      <w:r>
        <w:t>respond</w:t>
      </w:r>
      <w:proofErr w:type="gramEnd"/>
      <w:r>
        <w:t xml:space="preserve"> to frequency deviations provided it’s not physically limited by </w:t>
      </w:r>
      <w:r w:rsidR="005711C6">
        <w:t xml:space="preserve">frequency-responsive </w:t>
      </w:r>
      <w:r>
        <w:t>headroom and LSL.</w:t>
      </w:r>
      <w:r w:rsidR="005711C6">
        <w:t xml:space="preserve">   </w:t>
      </w:r>
    </w:p>
    <w:p w14:paraId="2D8D0B50" w14:textId="12969B8C" w:rsidR="00D448F8" w:rsidRDefault="007F0867" w:rsidP="00D448F8">
      <w:pPr>
        <w:pStyle w:val="ListParagraph"/>
        <w:numPr>
          <w:ilvl w:val="2"/>
          <w:numId w:val="1"/>
        </w:numPr>
      </w:pPr>
      <w:r>
        <w:t xml:space="preserve">ERCOT procures minimum Responsive Reserve Service </w:t>
      </w:r>
      <w:r w:rsidR="003E3E4D">
        <w:t xml:space="preserve">(RRS) </w:t>
      </w:r>
      <w:r>
        <w:t xml:space="preserve">from Generators to ensure sufficient headroom is available to respond to frequency events. </w:t>
      </w:r>
      <w:r w:rsidR="00D448F8">
        <w:t>ERCOT’s PFR requirements are primarily geared towards avoiding firm load shed triggered by Under-Frequency Load Shed (UFLS) scheme at 59.30 Hz for loss of 2,750 MW, which is the defined Resource Contingency Criteria (RCC) per NERC BAL-003-01 Standard. The maximum import capability of the SC DC Tie is 2</w:t>
      </w:r>
      <w:r w:rsidR="00C730B6">
        <w:t>0</w:t>
      </w:r>
      <w:r w:rsidR="00D448F8">
        <w:t>00 MW which is smaller than the RCC of 2750 MW</w:t>
      </w:r>
      <w:r w:rsidR="001138F0">
        <w:t xml:space="preserve">.  </w:t>
      </w:r>
      <w:r w:rsidR="005866B3">
        <w:t xml:space="preserve"> </w:t>
      </w:r>
      <w:r w:rsidR="001138F0">
        <w:t xml:space="preserve">The </w:t>
      </w:r>
      <w:r w:rsidR="003E3E4D" w:rsidRPr="00CB15E3">
        <w:t>detailed report that provides background on the current RRS study, its case setup, modeling assumptions, study methodology and study results can be accessed on ROS</w:t>
      </w:r>
      <w:r w:rsidR="001138F0">
        <w:t xml:space="preserve"> meeting page </w:t>
      </w:r>
      <w:hyperlink r:id="rId11" w:history="1">
        <w:r w:rsidR="003E3E4D" w:rsidRPr="002436E1">
          <w:rPr>
            <w:color w:val="00B0F0"/>
            <w:u w:val="single"/>
          </w:rPr>
          <w:t xml:space="preserve">Nov 2, 2017 </w:t>
        </w:r>
        <w:r w:rsidR="001B7D88">
          <w:rPr>
            <w:color w:val="00B0F0"/>
            <w:u w:val="single"/>
          </w:rPr>
          <w:t xml:space="preserve">ROS </w:t>
        </w:r>
        <w:r w:rsidR="003E3E4D" w:rsidRPr="002436E1">
          <w:rPr>
            <w:color w:val="00B0F0"/>
            <w:u w:val="single"/>
          </w:rPr>
          <w:t>meeting page</w:t>
        </w:r>
      </w:hyperlink>
      <w:r w:rsidR="001138F0">
        <w:t xml:space="preserve"> under the meeting m</w:t>
      </w:r>
      <w:r w:rsidR="003E3E4D" w:rsidRPr="00CB15E3">
        <w:t>at</w:t>
      </w:r>
      <w:r w:rsidR="001138F0">
        <w:t>erials related to agenda item 5</w:t>
      </w:r>
      <w:r w:rsidR="00D448F8" w:rsidRPr="00CB15E3">
        <w:t xml:space="preserve">. </w:t>
      </w:r>
    </w:p>
    <w:p w14:paraId="16F7D767" w14:textId="7428FF8D" w:rsidR="00D448F8" w:rsidRDefault="00D448F8" w:rsidP="00D448F8">
      <w:pPr>
        <w:pStyle w:val="ListParagraph"/>
        <w:numPr>
          <w:ilvl w:val="2"/>
          <w:numId w:val="1"/>
        </w:numPr>
      </w:pPr>
      <w:r>
        <w:t xml:space="preserve">ERCOT competitively procures RRS to maintain PFR by reserving frequency responsive head-room from selected Generators, all the other generators are not required to reserve a head-room to provide PFR but need to have their </w:t>
      </w:r>
      <w:r>
        <w:lastRenderedPageBreak/>
        <w:t xml:space="preserve">governor in service and respond if they have </w:t>
      </w:r>
      <w:r w:rsidR="0057385C">
        <w:t>available</w:t>
      </w:r>
      <w:r>
        <w:t xml:space="preserve"> </w:t>
      </w:r>
      <w:r w:rsidR="0057385C">
        <w:t xml:space="preserve">frequency responsive </w:t>
      </w:r>
      <w:r>
        <w:t>head</w:t>
      </w:r>
      <w:r w:rsidR="0057385C">
        <w:t>-</w:t>
      </w:r>
      <w:r>
        <w:t xml:space="preserve">room. </w:t>
      </w:r>
    </w:p>
    <w:p w14:paraId="51042DDA" w14:textId="09F5FCC1" w:rsidR="00114C93" w:rsidRDefault="00CF2660" w:rsidP="00337E01">
      <w:pPr>
        <w:pStyle w:val="ListParagraph"/>
        <w:numPr>
          <w:ilvl w:val="2"/>
          <w:numId w:val="1"/>
        </w:numPr>
      </w:pPr>
      <w:r>
        <w:t xml:space="preserve">Current </w:t>
      </w:r>
      <w:r w:rsidR="00D448F8">
        <w:t>DC Ties</w:t>
      </w:r>
      <w:r w:rsidR="00C730B6">
        <w:t xml:space="preserve"> in</w:t>
      </w:r>
      <w:r w:rsidR="00D448F8">
        <w:t xml:space="preserve"> ERCOT (which are substantially smaller in their/import/export capacity)</w:t>
      </w:r>
      <w:r>
        <w:t xml:space="preserve"> are not required to be PFR capable</w:t>
      </w:r>
      <w:r w:rsidR="0057385C">
        <w:t xml:space="preserve"> </w:t>
      </w:r>
      <w:r w:rsidR="0057385C" w:rsidRPr="002436E1">
        <w:t>(current total 11</w:t>
      </w:r>
      <w:r w:rsidR="007252DE" w:rsidRPr="002436E1">
        <w:t>5</w:t>
      </w:r>
      <w:r w:rsidR="0057385C" w:rsidRPr="002436E1">
        <w:t>0</w:t>
      </w:r>
      <w:r w:rsidR="00734EE7" w:rsidRPr="002436E1">
        <w:t xml:space="preserve"> </w:t>
      </w:r>
      <w:r w:rsidR="0057385C" w:rsidRPr="002436E1">
        <w:t>MW from existing DC Ties)</w:t>
      </w:r>
      <w:r w:rsidR="00D448F8" w:rsidRPr="002436E1">
        <w:t>.</w:t>
      </w:r>
      <w:r w:rsidR="00D448F8">
        <w:t xml:space="preserve"> </w:t>
      </w:r>
    </w:p>
    <w:p w14:paraId="08056B9E" w14:textId="0026C96F" w:rsidR="009E4DB6" w:rsidRDefault="009E4DB6" w:rsidP="009E4DB6">
      <w:pPr>
        <w:pStyle w:val="ListParagraph"/>
        <w:numPr>
          <w:ilvl w:val="2"/>
          <w:numId w:val="1"/>
        </w:numPr>
      </w:pPr>
      <w:r>
        <w:t>Currently per NERC requirement BAL-001-TRE-1 and ERCOT protocols, Primary Frequency Response (PFR) in the ERCOT region is required and provided by generation resources.</w:t>
      </w:r>
    </w:p>
    <w:p w14:paraId="2DD8FBF9" w14:textId="41FD429E" w:rsidR="002B080E" w:rsidRDefault="00D448F8" w:rsidP="00A84740">
      <w:pPr>
        <w:pStyle w:val="ListParagraph"/>
        <w:numPr>
          <w:ilvl w:val="2"/>
          <w:numId w:val="1"/>
        </w:numPr>
      </w:pPr>
      <w:r>
        <w:t xml:space="preserve">The ERCOT </w:t>
      </w:r>
      <w:r w:rsidR="002436E1">
        <w:t>system currently</w:t>
      </w:r>
      <w:r w:rsidR="00114C93">
        <w:t xml:space="preserve"> </w:t>
      </w:r>
      <w:r>
        <w:t>exceeds minimum PFR requirements under the BAL-003 standard</w:t>
      </w:r>
      <w:r w:rsidRPr="007252DE">
        <w:t xml:space="preserve">. </w:t>
      </w:r>
      <w:r w:rsidR="001138F0">
        <w:t xml:space="preserve"> The</w:t>
      </w:r>
      <w:r w:rsidR="00734EE7" w:rsidRPr="007252DE">
        <w:t xml:space="preserve"> report that tracks ERCOT’s Interconnection Minimum Frequency Response (IMFR) </w:t>
      </w:r>
      <w:r w:rsidR="00EC377C">
        <w:t xml:space="preserve">performance during Frequency Measurable Events (FMEs) </w:t>
      </w:r>
      <w:r w:rsidR="00734EE7" w:rsidRPr="007252DE">
        <w:t xml:space="preserve">per BAL-TRE-001 can be accessed on </w:t>
      </w:r>
      <w:hyperlink r:id="rId12" w:history="1">
        <w:r w:rsidR="00971C02">
          <w:rPr>
            <w:rStyle w:val="Hyperlink"/>
            <w:color w:val="00B0F0"/>
          </w:rPr>
          <w:t>ERCOT website link</w:t>
        </w:r>
      </w:hyperlink>
      <w:r w:rsidR="001138F0">
        <w:rPr>
          <w:color w:val="00B0F0"/>
        </w:rPr>
        <w:t>.</w:t>
      </w:r>
    </w:p>
    <w:p w14:paraId="74AAB4AA" w14:textId="0A5F0B5C" w:rsidR="00643EC6" w:rsidRDefault="00643EC6">
      <w:pPr>
        <w:pStyle w:val="ListParagraph"/>
        <w:numPr>
          <w:ilvl w:val="2"/>
          <w:numId w:val="1"/>
        </w:numPr>
      </w:pPr>
      <w:r>
        <w:t>A</w:t>
      </w:r>
      <w:r w:rsidR="00CD44F0">
        <w:t xml:space="preserve"> DC Tie</w:t>
      </w:r>
      <w:r>
        <w:t xml:space="preserve"> is not a </w:t>
      </w:r>
      <w:r w:rsidR="003549ED">
        <w:t>R</w:t>
      </w:r>
      <w:r>
        <w:t xml:space="preserve">esource, it is rather a transmission element that is capable of quickly controlling flows. Even though the </w:t>
      </w:r>
      <w:r w:rsidR="00CD44F0">
        <w:t>DC Tie</w:t>
      </w:r>
      <w:r>
        <w:t xml:space="preserve"> has the capability to respond quickly and change the MW flow extremely fast, the entity (BA/RC) on other side of the </w:t>
      </w:r>
      <w:r w:rsidR="00D22E7A">
        <w:t>DC Tie</w:t>
      </w:r>
      <w:r>
        <w:t xml:space="preserve"> must agree </w:t>
      </w:r>
      <w:r w:rsidR="00D22E7A">
        <w:t xml:space="preserve">to the </w:t>
      </w:r>
      <w:r>
        <w:t xml:space="preserve">sudden </w:t>
      </w:r>
      <w:r w:rsidR="00D22E7A">
        <w:t xml:space="preserve">change in flow </w:t>
      </w:r>
      <w:r>
        <w:t xml:space="preserve">their system when providing PFR to ERCOT Grid. ERCOT has not yet determined the technical feasibility of PFR provision from DC Ties given the complexities associated with coordinating such service with neighboring Balancing Authorities and their market participants. </w:t>
      </w:r>
    </w:p>
    <w:p w14:paraId="72A7C1CC" w14:textId="77777777" w:rsidR="00214B6D" w:rsidRDefault="00214B6D" w:rsidP="00CB15E3">
      <w:pPr>
        <w:pStyle w:val="ListParagraph"/>
        <w:ind w:left="2160"/>
      </w:pPr>
    </w:p>
    <w:p w14:paraId="7AB3A901" w14:textId="77777777" w:rsidR="00DA0FFE" w:rsidRPr="00555BC4" w:rsidRDefault="00DA0FFE" w:rsidP="000E70CF">
      <w:pPr>
        <w:pStyle w:val="ListParagraph"/>
        <w:numPr>
          <w:ilvl w:val="1"/>
          <w:numId w:val="1"/>
        </w:numPr>
      </w:pPr>
      <w:r w:rsidRPr="000E70CF">
        <w:rPr>
          <w:u w:val="single"/>
        </w:rPr>
        <w:t xml:space="preserve">Requirements considered </w:t>
      </w:r>
    </w:p>
    <w:p w14:paraId="5967960E" w14:textId="7A821583" w:rsidR="00DA0FFE" w:rsidRDefault="00DA0FFE" w:rsidP="00214B6D">
      <w:pPr>
        <w:pStyle w:val="ListParagraph"/>
        <w:numPr>
          <w:ilvl w:val="3"/>
          <w:numId w:val="1"/>
        </w:numPr>
        <w:ind w:left="2160"/>
      </w:pPr>
      <w:r>
        <w:t>NERC BAL-003</w:t>
      </w:r>
      <w:r w:rsidR="00257B5E">
        <w:t>-1.1</w:t>
      </w:r>
      <w:r>
        <w:t xml:space="preserve"> – </w:t>
      </w:r>
      <w:r w:rsidR="00257B5E">
        <w:t>BA Frequency Response Measure is greater than its requirement.</w:t>
      </w:r>
    </w:p>
    <w:p w14:paraId="75F47950" w14:textId="77777777" w:rsidR="00257B5E" w:rsidRDefault="00257B5E" w:rsidP="00214B6D">
      <w:pPr>
        <w:pStyle w:val="ListParagraph"/>
        <w:numPr>
          <w:ilvl w:val="3"/>
          <w:numId w:val="1"/>
        </w:numPr>
        <w:ind w:left="2160"/>
      </w:pPr>
      <w:r>
        <w:t>NERC BAL-002-1 – Recover Area Control Error (ACE) within 15 minutes of a Most Severe Single Contingency (MSSC) event and recover reserves.</w:t>
      </w:r>
    </w:p>
    <w:p w14:paraId="3EDEF749" w14:textId="77777777" w:rsidR="00257B5E" w:rsidRDefault="00257B5E" w:rsidP="00214B6D">
      <w:pPr>
        <w:pStyle w:val="ListParagraph"/>
        <w:numPr>
          <w:ilvl w:val="3"/>
          <w:numId w:val="1"/>
        </w:numPr>
        <w:ind w:left="2160"/>
      </w:pPr>
      <w:r>
        <w:t>NERC BAL-001-2 – Control Performance Standard (CPS) 1 – Maintain score greater than 100, recover ACE within 30 minutes.</w:t>
      </w:r>
    </w:p>
    <w:p w14:paraId="0AC183DD" w14:textId="77777777" w:rsidR="00AC7A1C" w:rsidRDefault="00AC7A1C" w:rsidP="00214B6D">
      <w:pPr>
        <w:pStyle w:val="ListParagraph"/>
        <w:numPr>
          <w:ilvl w:val="3"/>
          <w:numId w:val="1"/>
        </w:numPr>
        <w:ind w:left="2160"/>
      </w:pPr>
      <w:r>
        <w:t xml:space="preserve">NERC BAL-001-TRE-1 – Generation resource requirement for governor </w:t>
      </w:r>
    </w:p>
    <w:p w14:paraId="3CEC6EAE" w14:textId="77777777" w:rsidR="00DA0FFE" w:rsidRDefault="00DA0FFE" w:rsidP="00CB15E3">
      <w:pPr>
        <w:pStyle w:val="ListParagraph"/>
        <w:ind w:left="2160"/>
        <w:jc w:val="center"/>
      </w:pPr>
    </w:p>
    <w:p w14:paraId="7040CB23" w14:textId="77777777" w:rsidR="00481F9D" w:rsidRPr="00481F9D" w:rsidRDefault="00481F9D" w:rsidP="00481F9D">
      <w:pPr>
        <w:pStyle w:val="ListParagraph"/>
        <w:numPr>
          <w:ilvl w:val="1"/>
          <w:numId w:val="1"/>
        </w:numPr>
        <w:rPr>
          <w:u w:val="single"/>
        </w:rPr>
      </w:pPr>
      <w:r w:rsidRPr="00481F9D">
        <w:rPr>
          <w:u w:val="single"/>
        </w:rPr>
        <w:t>Implementation details</w:t>
      </w:r>
      <w:r w:rsidR="004C009E">
        <w:rPr>
          <w:u w:val="single"/>
        </w:rPr>
        <w:t xml:space="preserve"> for ERCOT </w:t>
      </w:r>
      <w:r w:rsidR="00230A62">
        <w:rPr>
          <w:u w:val="single"/>
        </w:rPr>
        <w:t>determination</w:t>
      </w:r>
    </w:p>
    <w:p w14:paraId="00BDFF7F" w14:textId="77777777" w:rsidR="00481F9D" w:rsidRDefault="00481F9D" w:rsidP="00481F9D">
      <w:pPr>
        <w:pStyle w:val="ListParagraph"/>
        <w:numPr>
          <w:ilvl w:val="2"/>
          <w:numId w:val="1"/>
        </w:numPr>
      </w:pPr>
      <w:r>
        <w:t>No changes to protocols or guides</w:t>
      </w:r>
    </w:p>
    <w:p w14:paraId="13FF4F55" w14:textId="77777777" w:rsidR="00DA0FFE" w:rsidRDefault="00481F9D" w:rsidP="00DA0FFE">
      <w:pPr>
        <w:pStyle w:val="ListParagraph"/>
        <w:numPr>
          <w:ilvl w:val="2"/>
          <w:numId w:val="1"/>
        </w:numPr>
      </w:pPr>
      <w:r>
        <w:t>No system impacts</w:t>
      </w:r>
    </w:p>
    <w:p w14:paraId="44931917" w14:textId="77777777" w:rsidR="00481F9D" w:rsidRDefault="00481F9D" w:rsidP="00481F9D">
      <w:pPr>
        <w:pStyle w:val="ListParagraph"/>
        <w:ind w:left="1440"/>
      </w:pPr>
    </w:p>
    <w:p w14:paraId="5A3668F3" w14:textId="77777777" w:rsidR="005B7592" w:rsidRPr="00481F9D" w:rsidRDefault="005B7592" w:rsidP="005B7592">
      <w:pPr>
        <w:pStyle w:val="ListParagraph"/>
        <w:numPr>
          <w:ilvl w:val="1"/>
          <w:numId w:val="1"/>
        </w:numPr>
        <w:rPr>
          <w:u w:val="single"/>
        </w:rPr>
      </w:pPr>
      <w:r w:rsidRPr="00481F9D">
        <w:rPr>
          <w:u w:val="single"/>
        </w:rPr>
        <w:t>Related/emerging issues:</w:t>
      </w:r>
    </w:p>
    <w:p w14:paraId="74650F7C" w14:textId="77777777" w:rsidR="00230A62" w:rsidRDefault="005B7592" w:rsidP="005B7592">
      <w:pPr>
        <w:pStyle w:val="ListParagraph"/>
        <w:numPr>
          <w:ilvl w:val="2"/>
          <w:numId w:val="1"/>
        </w:numPr>
      </w:pPr>
      <w:r>
        <w:t xml:space="preserve">During </w:t>
      </w:r>
      <w:r w:rsidR="00481F9D">
        <w:t>frequency events</w:t>
      </w:r>
      <w:r>
        <w:t xml:space="preserve">, DC Ties can be </w:t>
      </w:r>
      <w:r w:rsidR="0033413A">
        <w:t xml:space="preserve">ramping to export more </w:t>
      </w:r>
      <w:r w:rsidR="004C009E">
        <w:t xml:space="preserve">energy </w:t>
      </w:r>
      <w:r w:rsidR="0033413A">
        <w:t>(</w:t>
      </w:r>
      <w:r>
        <w:t>wrong direction</w:t>
      </w:r>
      <w:r w:rsidR="0033413A">
        <w:t xml:space="preserve"> to recover frequency)</w:t>
      </w:r>
      <w:r>
        <w:t xml:space="preserve"> and not seen by SCED.  </w:t>
      </w:r>
    </w:p>
    <w:p w14:paraId="641006C0" w14:textId="5D3C9A16" w:rsidR="005B7592" w:rsidRDefault="005B7592" w:rsidP="00230A62">
      <w:pPr>
        <w:pStyle w:val="ListParagraph"/>
        <w:numPr>
          <w:ilvl w:val="3"/>
          <w:numId w:val="1"/>
        </w:numPr>
      </w:pPr>
      <w:r>
        <w:t xml:space="preserve">This should </w:t>
      </w:r>
      <w:r w:rsidR="0021309C">
        <w:t xml:space="preserve">be </w:t>
      </w:r>
      <w:r>
        <w:t xml:space="preserve">considered </w:t>
      </w:r>
      <w:r w:rsidR="0021309C">
        <w:t xml:space="preserve">regardless </w:t>
      </w:r>
      <w:r>
        <w:t xml:space="preserve">of </w:t>
      </w:r>
      <w:r w:rsidR="0021309C">
        <w:t xml:space="preserve">the </w:t>
      </w:r>
      <w:r>
        <w:t>SCT</w:t>
      </w:r>
      <w:r w:rsidR="00AC7A1C">
        <w:t xml:space="preserve"> </w:t>
      </w:r>
      <w:r w:rsidR="0021309C">
        <w:t xml:space="preserve">directives due to the impacts </w:t>
      </w:r>
      <w:r w:rsidR="003665F6">
        <w:t>associated with the</w:t>
      </w:r>
      <w:r w:rsidR="0021309C">
        <w:t xml:space="preserve"> </w:t>
      </w:r>
      <w:r w:rsidR="00AC7A1C">
        <w:t>current DC Ties</w:t>
      </w:r>
      <w:r>
        <w:t>.</w:t>
      </w:r>
    </w:p>
    <w:p w14:paraId="55DFD395" w14:textId="77777777" w:rsidR="005B7592" w:rsidRDefault="005B7592" w:rsidP="005342C8">
      <w:pPr>
        <w:pStyle w:val="ListParagraph"/>
        <w:numPr>
          <w:ilvl w:val="4"/>
          <w:numId w:val="1"/>
        </w:numPr>
      </w:pPr>
      <w:r>
        <w:t>ERCOT should</w:t>
      </w:r>
      <w:r w:rsidR="00230A62">
        <w:t xml:space="preserve"> consider proposing </w:t>
      </w:r>
      <w:r w:rsidR="0021309C">
        <w:t xml:space="preserve">a </w:t>
      </w:r>
      <w:r>
        <w:t xml:space="preserve">SCR </w:t>
      </w:r>
      <w:r w:rsidR="00230A62">
        <w:t xml:space="preserve">to include net DC Tie ramp contribution into </w:t>
      </w:r>
      <w:r>
        <w:t>SCED</w:t>
      </w:r>
      <w:r w:rsidR="00230A62">
        <w:t xml:space="preserve"> calculations </w:t>
      </w:r>
    </w:p>
    <w:p w14:paraId="06C4E12F" w14:textId="77777777" w:rsidR="005B7592" w:rsidRDefault="005342C8" w:rsidP="005342C8">
      <w:pPr>
        <w:pStyle w:val="ListParagraph"/>
        <w:numPr>
          <w:ilvl w:val="4"/>
          <w:numId w:val="1"/>
        </w:numPr>
      </w:pPr>
      <w:r>
        <w:t xml:space="preserve">ERCOT should consider </w:t>
      </w:r>
      <w:r w:rsidR="005B7592">
        <w:t xml:space="preserve">if Ties are big enough that </w:t>
      </w:r>
      <w:r w:rsidR="00481F9D">
        <w:t>ERCOT/SCED should</w:t>
      </w:r>
      <w:r w:rsidR="005B7592">
        <w:t xml:space="preserve"> </w:t>
      </w:r>
      <w:r w:rsidR="00E04DC7">
        <w:t>suspend</w:t>
      </w:r>
      <w:r>
        <w:t xml:space="preserve"> (</w:t>
      </w:r>
      <w:r w:rsidR="00E04DC7">
        <w:t>or reverse</w:t>
      </w:r>
      <w:r w:rsidR="004F776B">
        <w:t>)</w:t>
      </w:r>
      <w:r w:rsidR="00E04DC7">
        <w:t xml:space="preserve"> </w:t>
      </w:r>
      <w:r w:rsidR="005B7592">
        <w:t xml:space="preserve">ramping </w:t>
      </w:r>
    </w:p>
    <w:p w14:paraId="49FF8AAF" w14:textId="77777777" w:rsidR="005B7592" w:rsidRDefault="004C009E" w:rsidP="005B7592">
      <w:pPr>
        <w:pStyle w:val="ListParagraph"/>
        <w:numPr>
          <w:ilvl w:val="2"/>
          <w:numId w:val="1"/>
        </w:numPr>
      </w:pPr>
      <w:r>
        <w:t xml:space="preserve">Consensus in PDCWG of importance for </w:t>
      </w:r>
      <w:r w:rsidR="005B7592">
        <w:t xml:space="preserve">PFR </w:t>
      </w:r>
      <w:r>
        <w:t xml:space="preserve">to </w:t>
      </w:r>
      <w:r w:rsidR="005B7592">
        <w:t xml:space="preserve">be a paid service </w:t>
      </w:r>
    </w:p>
    <w:p w14:paraId="6B7847C5" w14:textId="77777777" w:rsidR="00AC7A1C" w:rsidRDefault="00AC7A1C" w:rsidP="005B7592">
      <w:pPr>
        <w:pStyle w:val="ListParagraph"/>
        <w:numPr>
          <w:ilvl w:val="2"/>
          <w:numId w:val="1"/>
        </w:numPr>
      </w:pPr>
      <w:r>
        <w:lastRenderedPageBreak/>
        <w:t>Need to study if more ancillary services required due to size of DC Tie (Directive #9)</w:t>
      </w:r>
    </w:p>
    <w:p w14:paraId="69032ABB" w14:textId="3282AAC6" w:rsidR="002B080E" w:rsidRDefault="002B080E" w:rsidP="005B7592">
      <w:pPr>
        <w:pStyle w:val="ListParagraph"/>
        <w:numPr>
          <w:ilvl w:val="2"/>
          <w:numId w:val="1"/>
        </w:numPr>
      </w:pPr>
      <w:r>
        <w:t>For the unexpected</w:t>
      </w:r>
      <w:r w:rsidR="002436E1">
        <w:t xml:space="preserve"> (low probability)</w:t>
      </w:r>
      <w:r>
        <w:t xml:space="preserve"> scenario of full import during H</w:t>
      </w:r>
      <w:r w:rsidR="002436E1">
        <w:t xml:space="preserve">igh </w:t>
      </w:r>
      <w:r>
        <w:t>W</w:t>
      </w:r>
      <w:r w:rsidR="002436E1">
        <w:t xml:space="preserve">ind </w:t>
      </w:r>
      <w:r>
        <w:t>L</w:t>
      </w:r>
      <w:r w:rsidR="002436E1">
        <w:t xml:space="preserve">ow </w:t>
      </w:r>
      <w:r>
        <w:t>L</w:t>
      </w:r>
      <w:r w:rsidR="002436E1">
        <w:t>oad (HWLL) conditions, there</w:t>
      </w:r>
      <w:r w:rsidR="00053049">
        <w:t xml:space="preserve"> </w:t>
      </w:r>
      <w:r w:rsidR="002436E1">
        <w:t xml:space="preserve">may be a possibility that synchronous </w:t>
      </w:r>
      <w:r w:rsidR="00053049">
        <w:t xml:space="preserve">generation </w:t>
      </w:r>
      <w:r w:rsidR="002436E1">
        <w:t xml:space="preserve">has </w:t>
      </w:r>
      <w:r w:rsidR="00053049">
        <w:t>been displaced to</w:t>
      </w:r>
      <w:r w:rsidR="002436E1">
        <w:t xml:space="preserve"> a</w:t>
      </w:r>
      <w:r w:rsidR="00053049">
        <w:t xml:space="preserve"> point </w:t>
      </w:r>
      <w:r w:rsidR="002436E1">
        <w:t xml:space="preserve">where inertia is below critical level. </w:t>
      </w:r>
    </w:p>
    <w:p w14:paraId="00663580" w14:textId="328EEB5C" w:rsidR="00310225" w:rsidRDefault="009E4DB6" w:rsidP="00CB15E3">
      <w:pPr>
        <w:pStyle w:val="ListParagraph"/>
        <w:numPr>
          <w:ilvl w:val="2"/>
          <w:numId w:val="1"/>
        </w:numPr>
      </w:pPr>
      <w:r>
        <w:t xml:space="preserve">While ERCOT and PDCWG members do not see a need to require SCT to provide PFR, the integration of a DC Tie of this size will require ERCOT to review (possibly staging) the Frequency threshold at which Load Resources providing RRS get deployed. </w:t>
      </w:r>
    </w:p>
    <w:sectPr w:rsidR="0031022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7EFD" w14:textId="77777777" w:rsidR="0042453F" w:rsidRDefault="0042453F" w:rsidP="006C32D5">
      <w:pPr>
        <w:spacing w:after="0" w:line="240" w:lineRule="auto"/>
      </w:pPr>
      <w:r>
        <w:separator/>
      </w:r>
    </w:p>
  </w:endnote>
  <w:endnote w:type="continuationSeparator" w:id="0">
    <w:p w14:paraId="61D061A6" w14:textId="77777777" w:rsidR="0042453F" w:rsidRDefault="0042453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AF681" w14:textId="77777777" w:rsidR="001A1FC6" w:rsidRDefault="001A1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37EB7" w14:textId="3BB8EF24" w:rsidR="001A1FC6" w:rsidRDefault="001A1FC6" w:rsidP="001A1FC6">
    <w:pPr>
      <w:pStyle w:val="Footer"/>
      <w:rPr>
        <w:rFonts w:ascii="Arial" w:hAnsi="Arial" w:cs="Arial"/>
        <w:sz w:val="18"/>
      </w:rPr>
    </w:pPr>
    <w:r>
      <w:rPr>
        <w:rFonts w:ascii="Arial" w:hAnsi="Arial" w:cs="Arial"/>
        <w:sz w:val="18"/>
      </w:rPr>
      <w:t xml:space="preserve">PUC Order No. </w:t>
    </w:r>
    <w:r>
      <w:rPr>
        <w:rFonts w:ascii="Arial" w:hAnsi="Arial" w:cs="Arial"/>
        <w:sz w:val="18"/>
      </w:rPr>
      <w:t>46304, Directive 8</w:t>
    </w:r>
    <w:r w:rsidRPr="00D824C4">
      <w:rPr>
        <w:rFonts w:ascii="Arial" w:hAnsi="Arial" w:cs="Arial"/>
        <w:sz w:val="18"/>
      </w:rPr>
      <w:t xml:space="preserve">, </w:t>
    </w:r>
    <w:r>
      <w:rPr>
        <w:rFonts w:ascii="Arial" w:hAnsi="Arial" w:cs="Arial"/>
        <w:sz w:val="18"/>
      </w:rPr>
      <w:t>PFR</w:t>
    </w:r>
    <w:r w:rsidRPr="00D824C4">
      <w:rPr>
        <w:rFonts w:ascii="Arial" w:hAnsi="Arial" w:cs="Arial"/>
        <w:sz w:val="18"/>
      </w:rPr>
      <w:t xml:space="preserve"> </w:t>
    </w:r>
    <w:r>
      <w:rPr>
        <w:rFonts w:ascii="Arial" w:hAnsi="Arial" w:cs="Arial"/>
        <w:sz w:val="18"/>
      </w:rPr>
      <w:t>030118</w:t>
    </w:r>
    <w:bookmarkStart w:id="0" w:name="_GoBack"/>
    <w:bookmarkEnd w:id="0"/>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p w14:paraId="59B16D03" w14:textId="3DE5B22A" w:rsidR="001A1FC6" w:rsidRPr="001A1FC6" w:rsidRDefault="001A1FC6">
    <w:pPr>
      <w:pStyle w:val="Footer"/>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D61F4" w14:textId="77777777" w:rsidR="001A1FC6" w:rsidRDefault="001A1F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93253" w14:textId="77777777" w:rsidR="0042453F" w:rsidRDefault="0042453F" w:rsidP="006C32D5">
      <w:pPr>
        <w:spacing w:after="0" w:line="240" w:lineRule="auto"/>
      </w:pPr>
      <w:r>
        <w:separator/>
      </w:r>
    </w:p>
  </w:footnote>
  <w:footnote w:type="continuationSeparator" w:id="0">
    <w:p w14:paraId="0CB834E7" w14:textId="77777777" w:rsidR="0042453F" w:rsidRDefault="0042453F" w:rsidP="006C3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59471" w14:textId="77777777" w:rsidR="001A1FC6" w:rsidRDefault="001A1FC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82B6D6" w14:textId="71C251E9" w:rsidR="006C32D5" w:rsidRDefault="001A1FC6">
    <w:pPr>
      <w:pStyle w:val="Header"/>
    </w:pPr>
    <w:r>
      <w:rPr>
        <w:noProof/>
      </w:rPr>
      <w:drawing>
        <wp:inline distT="0" distB="0" distL="0" distR="0" wp14:anchorId="46CD4963" wp14:editId="4C852A9D">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31CA" w14:textId="77777777" w:rsidR="001A1FC6" w:rsidRDefault="001A1F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52288"/>
    <w:rsid w:val="00053049"/>
    <w:rsid w:val="000E70CF"/>
    <w:rsid w:val="001138F0"/>
    <w:rsid w:val="00114C93"/>
    <w:rsid w:val="001A1FC6"/>
    <w:rsid w:val="001B4D9B"/>
    <w:rsid w:val="001B7D88"/>
    <w:rsid w:val="0021309C"/>
    <w:rsid w:val="00214B6D"/>
    <w:rsid w:val="0022792E"/>
    <w:rsid w:val="00230A62"/>
    <w:rsid w:val="002436E1"/>
    <w:rsid w:val="00257B5E"/>
    <w:rsid w:val="002B080E"/>
    <w:rsid w:val="00310225"/>
    <w:rsid w:val="00313F08"/>
    <w:rsid w:val="0033413A"/>
    <w:rsid w:val="00337E01"/>
    <w:rsid w:val="003549ED"/>
    <w:rsid w:val="003665F6"/>
    <w:rsid w:val="003A4A04"/>
    <w:rsid w:val="003B4181"/>
    <w:rsid w:val="003E3E4D"/>
    <w:rsid w:val="003E669D"/>
    <w:rsid w:val="0042453F"/>
    <w:rsid w:val="004473FA"/>
    <w:rsid w:val="0045220A"/>
    <w:rsid w:val="00481F9D"/>
    <w:rsid w:val="004C009E"/>
    <w:rsid w:val="004E0D90"/>
    <w:rsid w:val="004F776B"/>
    <w:rsid w:val="005342C8"/>
    <w:rsid w:val="005518A8"/>
    <w:rsid w:val="00553DFD"/>
    <w:rsid w:val="00555BC4"/>
    <w:rsid w:val="005606D7"/>
    <w:rsid w:val="005711C6"/>
    <w:rsid w:val="0057385C"/>
    <w:rsid w:val="0058582F"/>
    <w:rsid w:val="005866B3"/>
    <w:rsid w:val="005916C7"/>
    <w:rsid w:val="005B7592"/>
    <w:rsid w:val="00643EC6"/>
    <w:rsid w:val="006B3E14"/>
    <w:rsid w:val="006C32D5"/>
    <w:rsid w:val="006C6164"/>
    <w:rsid w:val="006E1BDD"/>
    <w:rsid w:val="007252DE"/>
    <w:rsid w:val="00734EE7"/>
    <w:rsid w:val="00744EB3"/>
    <w:rsid w:val="007B00D1"/>
    <w:rsid w:val="007F0867"/>
    <w:rsid w:val="007F6330"/>
    <w:rsid w:val="00817194"/>
    <w:rsid w:val="00834941"/>
    <w:rsid w:val="00834CF6"/>
    <w:rsid w:val="008B0772"/>
    <w:rsid w:val="008F51AB"/>
    <w:rsid w:val="00922EEC"/>
    <w:rsid w:val="00971C02"/>
    <w:rsid w:val="00973131"/>
    <w:rsid w:val="009C4E17"/>
    <w:rsid w:val="009E4DB6"/>
    <w:rsid w:val="00A23880"/>
    <w:rsid w:val="00A33164"/>
    <w:rsid w:val="00A538B7"/>
    <w:rsid w:val="00AC2662"/>
    <w:rsid w:val="00AC7A1C"/>
    <w:rsid w:val="00AD541B"/>
    <w:rsid w:val="00B052DD"/>
    <w:rsid w:val="00B5256C"/>
    <w:rsid w:val="00B52E3F"/>
    <w:rsid w:val="00BF463F"/>
    <w:rsid w:val="00C27E0E"/>
    <w:rsid w:val="00C730B6"/>
    <w:rsid w:val="00CA1524"/>
    <w:rsid w:val="00CB15E3"/>
    <w:rsid w:val="00CC6EBB"/>
    <w:rsid w:val="00CD44F0"/>
    <w:rsid w:val="00CE7638"/>
    <w:rsid w:val="00CF2660"/>
    <w:rsid w:val="00CF7C7F"/>
    <w:rsid w:val="00D02BFF"/>
    <w:rsid w:val="00D1564F"/>
    <w:rsid w:val="00D22E7A"/>
    <w:rsid w:val="00D27054"/>
    <w:rsid w:val="00D448F8"/>
    <w:rsid w:val="00D820CC"/>
    <w:rsid w:val="00DA0FFE"/>
    <w:rsid w:val="00DA11D8"/>
    <w:rsid w:val="00DB4AB3"/>
    <w:rsid w:val="00E04DC7"/>
    <w:rsid w:val="00E9073A"/>
    <w:rsid w:val="00EB7E90"/>
    <w:rsid w:val="00EC28F7"/>
    <w:rsid w:val="00EC377C"/>
    <w:rsid w:val="00ED04A0"/>
    <w:rsid w:val="00EF2DDF"/>
    <w:rsid w:val="00F0376E"/>
    <w:rsid w:val="00F2797E"/>
    <w:rsid w:val="00F311C2"/>
    <w:rsid w:val="00F52191"/>
    <w:rsid w:val="00F83A35"/>
    <w:rsid w:val="00FA0BA9"/>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B088D"/>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58651">
      <w:bodyDiv w:val="1"/>
      <w:marLeft w:val="0"/>
      <w:marRight w:val="0"/>
      <w:marTop w:val="0"/>
      <w:marBottom w:val="0"/>
      <w:divBdr>
        <w:top w:val="none" w:sz="0" w:space="0" w:color="auto"/>
        <w:left w:val="none" w:sz="0" w:space="0" w:color="auto"/>
        <w:bottom w:val="none" w:sz="0" w:space="0" w:color="auto"/>
        <w:right w:val="none" w:sz="0" w:space="0" w:color="auto"/>
      </w:divBdr>
    </w:div>
    <w:div w:id="567573947">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is.ercot.com/misapp/GetReports.do?reportTypeId=13454&amp;reportTitle=BAL-001-TRE%20IMFR%20Performance&amp;showHTMLView=&amp;mimicKe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calendar/2017/11/2/108743-RO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ECEEC-F40F-4006-A30D-307D7ACFAD2D}">
  <ds:schemaRefs>
    <ds:schemaRef ds:uri="http://schemas.microsoft.com/sharepoint/v3/contenttype/forms"/>
  </ds:schemaRefs>
</ds:datastoreItem>
</file>

<file path=customXml/itemProps2.xml><?xml version="1.0" encoding="utf-8"?>
<ds:datastoreItem xmlns:ds="http://schemas.openxmlformats.org/officeDocument/2006/customXml" ds:itemID="{DAAE7434-A3E2-43C3-96D6-0A922D0480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B86F36-1E95-4BC0-BFA7-B87481327B2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11791094-B8A8-4B59-9EDC-3919199C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5778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11</cp:revision>
  <dcterms:created xsi:type="dcterms:W3CDTF">2018-07-18T19:12:00Z</dcterms:created>
  <dcterms:modified xsi:type="dcterms:W3CDTF">2018-07-23T16:01:00Z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