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89" w:rsidRDefault="00644489" w:rsidP="00636CD0">
      <w:bookmarkStart w:id="0" w:name="_GoBack"/>
      <w:bookmarkEnd w:id="0"/>
    </w:p>
    <w:p w:rsidR="00644489" w:rsidRDefault="008B717C" w:rsidP="00E6398C">
      <w:r>
        <w:t>ERCOT Op</w:t>
      </w:r>
      <w:r w:rsidR="008665BC">
        <w:t xml:space="preserve">inions </w:t>
      </w:r>
      <w:r>
        <w:t xml:space="preserve">for </w:t>
      </w:r>
      <w:r w:rsidR="0057529C">
        <w:t>May 24</w:t>
      </w:r>
      <w:r w:rsidR="00085C68">
        <w:t xml:space="preserve">, </w:t>
      </w:r>
      <w:r w:rsidR="00534B2C">
        <w:t>2018</w:t>
      </w:r>
      <w:r w:rsidR="00927F68">
        <w:t xml:space="preserve"> </w:t>
      </w:r>
      <w:r>
        <w:t xml:space="preserve">TAC </w:t>
      </w:r>
    </w:p>
    <w:p w:rsidR="0057529C" w:rsidRDefault="0057529C" w:rsidP="0057529C">
      <w:pPr>
        <w:rPr>
          <w:b/>
          <w:bCs/>
          <w:u w:val="single"/>
        </w:rPr>
      </w:pPr>
    </w:p>
    <w:tbl>
      <w:tblPr>
        <w:tblW w:w="13228" w:type="dxa"/>
        <w:tblInd w:w="-8" w:type="dxa"/>
        <w:tblCellMar>
          <w:left w:w="0" w:type="dxa"/>
          <w:right w:w="0" w:type="dxa"/>
        </w:tblCellMar>
        <w:tblLook w:val="04A0" w:firstRow="1" w:lastRow="0" w:firstColumn="1" w:lastColumn="0" w:noHBand="0" w:noVBand="1"/>
      </w:tblPr>
      <w:tblGrid>
        <w:gridCol w:w="1438"/>
        <w:gridCol w:w="7200"/>
        <w:gridCol w:w="4590"/>
      </w:tblGrid>
      <w:tr w:rsidR="0057529C" w:rsidTr="0057529C">
        <w:trPr>
          <w:trHeight w:val="547"/>
        </w:trPr>
        <w:tc>
          <w:tcPr>
            <w:tcW w:w="1438"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57529C" w:rsidRDefault="0057529C">
            <w:pPr>
              <w:spacing w:line="252" w:lineRule="auto"/>
              <w:rPr>
                <w:b/>
                <w:bCs/>
                <w:color w:val="FFFFFF"/>
              </w:rPr>
            </w:pPr>
            <w:r>
              <w:rPr>
                <w:b/>
                <w:bCs/>
                <w:color w:val="FFFFFF"/>
              </w:rPr>
              <w:t>REV REQ NO.</w:t>
            </w:r>
          </w:p>
        </w:tc>
        <w:tc>
          <w:tcPr>
            <w:tcW w:w="720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57529C" w:rsidRDefault="0057529C">
            <w:pPr>
              <w:spacing w:line="252" w:lineRule="auto"/>
              <w:rPr>
                <w:b/>
                <w:bCs/>
                <w:color w:val="FFFFFF"/>
              </w:rPr>
            </w:pPr>
            <w:r>
              <w:rPr>
                <w:b/>
                <w:bCs/>
                <w:color w:val="FFFFFF"/>
              </w:rPr>
              <w:t>DESCRIPTION</w:t>
            </w:r>
          </w:p>
        </w:tc>
        <w:tc>
          <w:tcPr>
            <w:tcW w:w="459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57529C" w:rsidRDefault="0057529C">
            <w:pPr>
              <w:spacing w:line="252" w:lineRule="auto"/>
              <w:rPr>
                <w:b/>
                <w:bCs/>
                <w:color w:val="FFFFFF"/>
              </w:rPr>
            </w:pPr>
            <w:r>
              <w:rPr>
                <w:b/>
                <w:bCs/>
                <w:color w:val="FFFFFF"/>
              </w:rPr>
              <w:t>ERCOT Opinion</w:t>
            </w:r>
          </w:p>
        </w:tc>
      </w:tr>
      <w:tr w:rsidR="0057529C" w:rsidTr="0057529C">
        <w:trPr>
          <w:trHeight w:val="715"/>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t>021VCMRR</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color w:val="000000"/>
                <w:sz w:val="20"/>
                <w:szCs w:val="20"/>
              </w:rPr>
            </w:pPr>
            <w:r>
              <w:rPr>
                <w:b/>
                <w:bCs/>
                <w:color w:val="000000"/>
                <w:sz w:val="20"/>
                <w:szCs w:val="20"/>
              </w:rPr>
              <w:t xml:space="preserve">Related to NPRR847, Exceptional Fuel Cost Included in the Mitigated Offer Cap.  </w:t>
            </w:r>
            <w:r>
              <w:rPr>
                <w:color w:val="000000"/>
                <w:sz w:val="20"/>
                <w:szCs w:val="20"/>
              </w:rPr>
              <w:t>This VCMRR aligns the Verifiable Cost Manual with the language proposed in NPRR847 by proposing to remove Verifiable Cost Manual language providing for Make-Whole Payments for exceptional fuel costs.  [ERCOT]</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sz w:val="20"/>
                <w:szCs w:val="20"/>
              </w:rPr>
            </w:pPr>
            <w:r>
              <w:rPr>
                <w:sz w:val="20"/>
                <w:szCs w:val="20"/>
              </w:rPr>
              <w:t xml:space="preserve">ERCOT supports approval of VCMRR021.  </w:t>
            </w:r>
          </w:p>
        </w:tc>
      </w:tr>
      <w:tr w:rsidR="0057529C" w:rsidTr="0057529C">
        <w:trPr>
          <w:trHeight w:val="715"/>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color w:val="000000"/>
                <w:sz w:val="20"/>
                <w:szCs w:val="20"/>
              </w:rPr>
            </w:pPr>
            <w:r>
              <w:rPr>
                <w:b/>
                <w:bCs/>
                <w:color w:val="000000"/>
                <w:sz w:val="20"/>
                <w:szCs w:val="20"/>
              </w:rPr>
              <w:t>851NPRR</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color w:val="000000"/>
                <w:sz w:val="20"/>
                <w:szCs w:val="20"/>
              </w:rPr>
            </w:pPr>
            <w:r>
              <w:rPr>
                <w:b/>
                <w:bCs/>
                <w:color w:val="000000"/>
                <w:sz w:val="20"/>
                <w:szCs w:val="20"/>
              </w:rPr>
              <w:t xml:space="preserve">Procedure for Managing Disconnections for Bidirectional Electrical Connections at Transmission Level Voltages.  </w:t>
            </w:r>
            <w:r>
              <w:rPr>
                <w:color w:val="000000"/>
                <w:sz w:val="20"/>
                <w:szCs w:val="20"/>
              </w:rPr>
              <w:t>This Nodal Protocol Revision Request (NPRR) was developed to fully implement the market design envisioned in NPRR 596, External Load Serving Entities. This NPRR establishes a clearly defined disconnection process within ERCOT market rules applicable to a transmission voltage connection to the ERCOT grid which utilizes one electrical connection for both generation and load services.  [GSEC]</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rPr>
                <w:color w:val="000000"/>
                <w:sz w:val="20"/>
                <w:szCs w:val="20"/>
              </w:rPr>
            </w:pPr>
            <w:r>
              <w:rPr>
                <w:color w:val="000000"/>
                <w:sz w:val="20"/>
                <w:szCs w:val="20"/>
              </w:rPr>
              <w:t>ERCOT supports approval of NPRR851 because it establishes procedures and notice to ERCOT regarding any disconnection of a transmission voltage connection to the ERCOT grid which utilizes one electrical connection for both generation and load services.</w:t>
            </w:r>
          </w:p>
        </w:tc>
      </w:tr>
      <w:tr w:rsidR="0057529C" w:rsidTr="0057529C">
        <w:trPr>
          <w:trHeight w:val="715"/>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t>867NPRR</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t xml:space="preserve">Revisions to CRR Auction Credit Lock Amount to Reduce Excess Collateral.  </w:t>
            </w:r>
            <w:r>
              <w:rPr>
                <w:sz w:val="20"/>
                <w:szCs w:val="20"/>
              </w:rPr>
              <w:t>This Nodal Protocol Revision Request (NPRR) changes the amount of each Counter Party’s Available Credit Limit (ACL) locked for Congestion Revenue Rights (CRR) Auctions during the duration of the auction process so that it is capped at the pre-auction screening credit exposure amount.  [Credit WG]</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sz w:val="20"/>
                <w:szCs w:val="20"/>
              </w:rPr>
              <w:t>ERCOT supports approval of NPRR867 because it has positive credit implications and provides for more accurate and timely calculation of Counter-Party exposure in CRR Auctions and subsequent collateral requirements.</w:t>
            </w:r>
          </w:p>
        </w:tc>
      </w:tr>
      <w:tr w:rsidR="0057529C" w:rsidTr="0057529C">
        <w:trPr>
          <w:trHeight w:val="715"/>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t>870NPRR</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t xml:space="preserve">Eliminate Requirement for Forward Adjustment Factors Report in the MIS Certified Area.  </w:t>
            </w:r>
            <w:r>
              <w:rPr>
                <w:sz w:val="20"/>
                <w:szCs w:val="20"/>
              </w:rPr>
              <w:t>This Nodal Protocol Revision Request (NPRR) deletes the gray-boxed requirement for ERCOT to post a Forward Adjustment Factors Summary Report on the Market Information System (MIS) Certified Area.  The information in this report is already provided on each Counter-Party’s Estimated Aggregate Liability (EAL) Summary Report.  [ERCOT]</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sz w:val="20"/>
                <w:szCs w:val="20"/>
              </w:rPr>
            </w:pPr>
            <w:r>
              <w:rPr>
                <w:sz w:val="20"/>
                <w:szCs w:val="20"/>
              </w:rPr>
              <w:t xml:space="preserve">ERCOT supports approval of NPRR870.  </w:t>
            </w:r>
          </w:p>
        </w:tc>
      </w:tr>
      <w:tr w:rsidR="0057529C" w:rsidTr="0057529C">
        <w:trPr>
          <w:trHeight w:val="715"/>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t>005OBDRR</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color w:val="000000"/>
                <w:sz w:val="20"/>
                <w:szCs w:val="20"/>
              </w:rPr>
            </w:pPr>
            <w:r>
              <w:rPr>
                <w:b/>
                <w:bCs/>
                <w:color w:val="000000"/>
                <w:sz w:val="20"/>
                <w:szCs w:val="20"/>
              </w:rPr>
              <w:t>Change to the Generic Maximum Shadow Price for Base Case Transmission Constraints.</w:t>
            </w:r>
            <w:r>
              <w:rPr>
                <w:color w:val="000000"/>
                <w:sz w:val="20"/>
                <w:szCs w:val="20"/>
              </w:rPr>
              <w:t>  This Other Binding Document Revision Request (OBDRR) revises the generic transmission constraint Shadow Price cap that is used in Security Constrained Economic Dispatch (SCED) for base case constraints from $5,000/MWh to $9,251/MWh. Base case transmission constraints includes Generic Transmission Constraints (GTCs).  This revision also updates the associated examples in Section 3.5, Generic Values for the Transmission Network System-Wide Shadow Price Caps in SCED, and makes an administrative edit to a Protocol reference.  [ERCOT]</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sz w:val="20"/>
                <w:szCs w:val="20"/>
              </w:rPr>
            </w:pPr>
            <w:r>
              <w:rPr>
                <w:sz w:val="20"/>
                <w:szCs w:val="20"/>
              </w:rPr>
              <w:t xml:space="preserve">ERCOT supports approval of OBDRR005. </w:t>
            </w:r>
          </w:p>
        </w:tc>
      </w:tr>
      <w:tr w:rsidR="0057529C" w:rsidTr="0057529C">
        <w:trPr>
          <w:trHeight w:val="715"/>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lastRenderedPageBreak/>
              <w:t>837NPRR</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t xml:space="preserve">Regional Planning Group (RPG) Process Reform. </w:t>
            </w:r>
            <w:r>
              <w:rPr>
                <w:sz w:val="20"/>
                <w:szCs w:val="20"/>
              </w:rPr>
              <w:t> This Nodal Protocol Revision Request (NPRR) changes the Regional Planning Group (RPG) process by updating the Tier classification rules and also includes other RPG-related enhancements and clarifications.  [ERCOT]</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sz w:val="20"/>
                <w:szCs w:val="20"/>
              </w:rPr>
            </w:pPr>
            <w:r>
              <w:rPr>
                <w:sz w:val="20"/>
                <w:szCs w:val="20"/>
              </w:rPr>
              <w:t xml:space="preserve">ERCOT supports approval of NPRR837.  </w:t>
            </w:r>
          </w:p>
        </w:tc>
      </w:tr>
      <w:tr w:rsidR="0057529C" w:rsidTr="0057529C">
        <w:trPr>
          <w:trHeight w:val="715"/>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color w:val="000000"/>
                <w:sz w:val="20"/>
                <w:szCs w:val="20"/>
              </w:rPr>
            </w:pPr>
            <w:r>
              <w:rPr>
                <w:b/>
                <w:bCs/>
                <w:color w:val="000000"/>
                <w:sz w:val="20"/>
                <w:szCs w:val="20"/>
              </w:rPr>
              <w:t>847NPRR</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color w:val="000000"/>
                <w:sz w:val="20"/>
                <w:szCs w:val="20"/>
              </w:rPr>
            </w:pPr>
            <w:r>
              <w:rPr>
                <w:b/>
                <w:bCs/>
                <w:color w:val="000000"/>
                <w:sz w:val="20"/>
                <w:szCs w:val="20"/>
              </w:rPr>
              <w:t xml:space="preserve">Exceptional Fuel Cost Included in the Mitigated Offer Cap.  </w:t>
            </w:r>
            <w:r>
              <w:rPr>
                <w:color w:val="000000"/>
                <w:sz w:val="20"/>
                <w:szCs w:val="20"/>
              </w:rPr>
              <w:t>This Nodal Protocol Revision Request (NPRR) provides a long-term solution that was requested by Market Participants during the stakeholder review and approval of NPRR664, Fuel Index Price for Resource Definition and Real-Time Make-Whole Payments for Exceptional Fuel Cost Events.  In substitution for the NPRR664 language that is removed by this NPRR, ERCOT proposes the following:  1) Allowing Qualified Scheduling Entities (QSEs) to submit weighted average fuel prices in the Mitigated Offer Cap (MOC) for Real-Time mitigation, 2) Consolidation of the calculation of the MOC into a single equation for clarification, and 3) Introduction of a definition for Exceptional Fuel Cost and an abbreviated change-control process that allows for revisions to the threshold parameter value through a recommendation from WMS and approval by TAC.  [ERCOT]</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sz w:val="20"/>
                <w:szCs w:val="20"/>
              </w:rPr>
            </w:pPr>
            <w:r>
              <w:rPr>
                <w:sz w:val="20"/>
                <w:szCs w:val="20"/>
              </w:rPr>
              <w:t xml:space="preserve">ERCOT supports approval of NPRR847.  </w:t>
            </w:r>
          </w:p>
        </w:tc>
      </w:tr>
      <w:tr w:rsidR="0057529C" w:rsidTr="0057529C">
        <w:trPr>
          <w:trHeight w:val="715"/>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color w:val="000000"/>
                <w:sz w:val="20"/>
                <w:szCs w:val="20"/>
              </w:rPr>
            </w:pPr>
            <w:r>
              <w:rPr>
                <w:b/>
                <w:bCs/>
                <w:color w:val="000000"/>
                <w:sz w:val="20"/>
                <w:szCs w:val="20"/>
              </w:rPr>
              <w:t>857NPRR</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color w:val="000000"/>
                <w:sz w:val="20"/>
                <w:szCs w:val="20"/>
              </w:rPr>
            </w:pPr>
            <w:r>
              <w:rPr>
                <w:b/>
                <w:bCs/>
                <w:color w:val="000000"/>
                <w:sz w:val="20"/>
                <w:szCs w:val="20"/>
              </w:rPr>
              <w:t xml:space="preserve">Creation of Direct Current Tie Operator Market Participant Role.  </w:t>
            </w:r>
            <w:r>
              <w:rPr>
                <w:color w:val="000000"/>
                <w:sz w:val="20"/>
                <w:szCs w:val="20"/>
              </w:rPr>
              <w:t>This Nodal Protocol Revision Request (NPRR) creates the Market Participant role of “Direct Current Tie Operator (DCTO),” in order to clarify the obligations of Entities that operate Direct Current Ties (DC Ties) interconnected with the ERCOT System.  [ERCOT]</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sz w:val="20"/>
                <w:szCs w:val="20"/>
              </w:rPr>
            </w:pPr>
            <w:r>
              <w:rPr>
                <w:sz w:val="20"/>
                <w:szCs w:val="20"/>
              </w:rPr>
              <w:t xml:space="preserve">ERCOT supports approval of NPRR857.  </w:t>
            </w:r>
          </w:p>
        </w:tc>
      </w:tr>
      <w:tr w:rsidR="0057529C" w:rsidTr="0057529C">
        <w:trPr>
          <w:trHeight w:val="715"/>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color w:val="000000"/>
                <w:sz w:val="20"/>
                <w:szCs w:val="20"/>
              </w:rPr>
            </w:pPr>
            <w:r>
              <w:rPr>
                <w:b/>
                <w:bCs/>
                <w:color w:val="000000"/>
                <w:sz w:val="20"/>
                <w:szCs w:val="20"/>
              </w:rPr>
              <w:t>059PGRR</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color w:val="000000"/>
                <w:sz w:val="20"/>
                <w:szCs w:val="20"/>
              </w:rPr>
            </w:pPr>
            <w:r>
              <w:rPr>
                <w:b/>
                <w:bCs/>
                <w:color w:val="000000"/>
                <w:sz w:val="20"/>
                <w:szCs w:val="20"/>
              </w:rPr>
              <w:t xml:space="preserve">Related to NPRR837, Regional Planning Group (RPG) Process Reform. </w:t>
            </w:r>
            <w:r>
              <w:rPr>
                <w:color w:val="000000"/>
                <w:sz w:val="20"/>
                <w:szCs w:val="20"/>
              </w:rPr>
              <w:t> This Planning Guide Revision Request (PGRR) includes Regional Planning Group (RPG) related changes intended to enhance and clarify existing processes.  [ERCOT]</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sz w:val="20"/>
                <w:szCs w:val="20"/>
              </w:rPr>
            </w:pPr>
            <w:r>
              <w:rPr>
                <w:sz w:val="20"/>
                <w:szCs w:val="20"/>
              </w:rPr>
              <w:t xml:space="preserve">ERCOT supports approval of PGRR059.  </w:t>
            </w:r>
          </w:p>
        </w:tc>
      </w:tr>
      <w:tr w:rsidR="0057529C" w:rsidTr="0057529C">
        <w:trPr>
          <w:trHeight w:val="715"/>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t>060PGRR</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t xml:space="preserve">Clarification of Reliability Performance Criteria. </w:t>
            </w:r>
            <w:r>
              <w:rPr>
                <w:sz w:val="20"/>
                <w:szCs w:val="20"/>
              </w:rPr>
              <w:t> This Planning Guide Revision Request (PGRR) updates the reliability performance criteria by defining unavailability of a Direct Current Tie (DC Tie) as a new contingency. The PGRR also includes clarification of the voltage level of transformers referred to in the reliability performance criteria.  [ERCOT]</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color w:val="000000"/>
                <w:sz w:val="20"/>
                <w:szCs w:val="20"/>
              </w:rPr>
            </w:pPr>
            <w:r>
              <w:rPr>
                <w:sz w:val="20"/>
                <w:szCs w:val="20"/>
              </w:rPr>
              <w:t xml:space="preserve">ERCOT supports approval of PGRR060.  </w:t>
            </w:r>
          </w:p>
        </w:tc>
      </w:tr>
      <w:tr w:rsidR="0057529C" w:rsidTr="0057529C">
        <w:trPr>
          <w:trHeight w:val="715"/>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t>004OBDRR</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b/>
                <w:bCs/>
                <w:sz w:val="20"/>
                <w:szCs w:val="20"/>
              </w:rPr>
            </w:pPr>
            <w:r>
              <w:rPr>
                <w:b/>
                <w:bCs/>
                <w:sz w:val="20"/>
                <w:szCs w:val="20"/>
              </w:rPr>
              <w:t xml:space="preserve">Updates to Emergency Response Service Procurement Methodology.  </w:t>
            </w:r>
            <w:r>
              <w:rPr>
                <w:sz w:val="20"/>
                <w:szCs w:val="20"/>
              </w:rPr>
              <w:t>This Other Binding Document Revision Request (OBDRR) revises the risk-weighting factors available for ERCOT to assign to each ERS Time Period in Section E, ERS Expenditure Limit; describes the process for updating the ERS Time Period Expenditure Limits for any subsequent Standard Contract Terms if money is needed to fund and ERS renewal Contract Period; and updates Table A in Section F, Capacity Inflection Point, to reflect the proposed changes to the risk-weighting factors.  [ERCOT]</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57529C" w:rsidRDefault="0057529C">
            <w:pPr>
              <w:spacing w:line="252" w:lineRule="auto"/>
              <w:rPr>
                <w:sz w:val="20"/>
                <w:szCs w:val="20"/>
              </w:rPr>
            </w:pPr>
            <w:r>
              <w:rPr>
                <w:sz w:val="20"/>
                <w:szCs w:val="20"/>
              </w:rPr>
              <w:t xml:space="preserve">ERCOT supports approval of OBDRR004. </w:t>
            </w:r>
          </w:p>
        </w:tc>
      </w:tr>
    </w:tbl>
    <w:p w:rsidR="00E6398C" w:rsidRDefault="00E6398C" w:rsidP="00E6398C"/>
    <w:sectPr w:rsidR="00E6398C" w:rsidSect="000E52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ED"/>
    <w:rsid w:val="00081CF8"/>
    <w:rsid w:val="00085C68"/>
    <w:rsid w:val="000D407D"/>
    <w:rsid w:val="000E5254"/>
    <w:rsid w:val="00122FE5"/>
    <w:rsid w:val="00126220"/>
    <w:rsid w:val="001459C2"/>
    <w:rsid w:val="001679CC"/>
    <w:rsid w:val="001869C5"/>
    <w:rsid w:val="00212337"/>
    <w:rsid w:val="00261439"/>
    <w:rsid w:val="0026577A"/>
    <w:rsid w:val="00330EE9"/>
    <w:rsid w:val="003465FA"/>
    <w:rsid w:val="00350E75"/>
    <w:rsid w:val="003A5C8F"/>
    <w:rsid w:val="004E1337"/>
    <w:rsid w:val="004E1797"/>
    <w:rsid w:val="004F7AC5"/>
    <w:rsid w:val="00534B2C"/>
    <w:rsid w:val="00574CA2"/>
    <w:rsid w:val="0057529C"/>
    <w:rsid w:val="00595DDA"/>
    <w:rsid w:val="0059657A"/>
    <w:rsid w:val="005C04D8"/>
    <w:rsid w:val="005C5781"/>
    <w:rsid w:val="005E2D72"/>
    <w:rsid w:val="00600D15"/>
    <w:rsid w:val="00636CD0"/>
    <w:rsid w:val="00644489"/>
    <w:rsid w:val="006F07ED"/>
    <w:rsid w:val="00701C9F"/>
    <w:rsid w:val="007166FD"/>
    <w:rsid w:val="0072638C"/>
    <w:rsid w:val="00741C40"/>
    <w:rsid w:val="007A3795"/>
    <w:rsid w:val="007B577D"/>
    <w:rsid w:val="007D0FE5"/>
    <w:rsid w:val="008570CC"/>
    <w:rsid w:val="00857AE3"/>
    <w:rsid w:val="008665BC"/>
    <w:rsid w:val="00884875"/>
    <w:rsid w:val="0089096A"/>
    <w:rsid w:val="008B717C"/>
    <w:rsid w:val="0090087E"/>
    <w:rsid w:val="00927F68"/>
    <w:rsid w:val="00940259"/>
    <w:rsid w:val="00975D55"/>
    <w:rsid w:val="009B6F06"/>
    <w:rsid w:val="00A05917"/>
    <w:rsid w:val="00A229C2"/>
    <w:rsid w:val="00A72CF7"/>
    <w:rsid w:val="00A865ED"/>
    <w:rsid w:val="00B54E3C"/>
    <w:rsid w:val="00B56045"/>
    <w:rsid w:val="00B85C63"/>
    <w:rsid w:val="00B900D9"/>
    <w:rsid w:val="00C4464C"/>
    <w:rsid w:val="00C96FA7"/>
    <w:rsid w:val="00CF5A32"/>
    <w:rsid w:val="00D07151"/>
    <w:rsid w:val="00D80F8C"/>
    <w:rsid w:val="00DA5381"/>
    <w:rsid w:val="00E36051"/>
    <w:rsid w:val="00E6398C"/>
    <w:rsid w:val="00EC28D4"/>
    <w:rsid w:val="00F03C26"/>
    <w:rsid w:val="00F20886"/>
    <w:rsid w:val="00F22A8A"/>
    <w:rsid w:val="00F70F04"/>
    <w:rsid w:val="00F9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545AD-8A0A-464E-BED2-39AC7DB5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9133">
      <w:bodyDiv w:val="1"/>
      <w:marLeft w:val="0"/>
      <w:marRight w:val="0"/>
      <w:marTop w:val="0"/>
      <w:marBottom w:val="0"/>
      <w:divBdr>
        <w:top w:val="none" w:sz="0" w:space="0" w:color="auto"/>
        <w:left w:val="none" w:sz="0" w:space="0" w:color="auto"/>
        <w:bottom w:val="none" w:sz="0" w:space="0" w:color="auto"/>
        <w:right w:val="none" w:sz="0" w:space="0" w:color="auto"/>
      </w:divBdr>
    </w:div>
    <w:div w:id="466628175">
      <w:bodyDiv w:val="1"/>
      <w:marLeft w:val="0"/>
      <w:marRight w:val="0"/>
      <w:marTop w:val="0"/>
      <w:marBottom w:val="0"/>
      <w:divBdr>
        <w:top w:val="none" w:sz="0" w:space="0" w:color="auto"/>
        <w:left w:val="none" w:sz="0" w:space="0" w:color="auto"/>
        <w:bottom w:val="none" w:sz="0" w:space="0" w:color="auto"/>
        <w:right w:val="none" w:sz="0" w:space="0" w:color="auto"/>
      </w:divBdr>
    </w:div>
    <w:div w:id="659235382">
      <w:bodyDiv w:val="1"/>
      <w:marLeft w:val="0"/>
      <w:marRight w:val="0"/>
      <w:marTop w:val="0"/>
      <w:marBottom w:val="0"/>
      <w:divBdr>
        <w:top w:val="none" w:sz="0" w:space="0" w:color="auto"/>
        <w:left w:val="none" w:sz="0" w:space="0" w:color="auto"/>
        <w:bottom w:val="none" w:sz="0" w:space="0" w:color="auto"/>
        <w:right w:val="none" w:sz="0" w:space="0" w:color="auto"/>
      </w:divBdr>
    </w:div>
    <w:div w:id="682517671">
      <w:bodyDiv w:val="1"/>
      <w:marLeft w:val="0"/>
      <w:marRight w:val="0"/>
      <w:marTop w:val="0"/>
      <w:marBottom w:val="0"/>
      <w:divBdr>
        <w:top w:val="none" w:sz="0" w:space="0" w:color="auto"/>
        <w:left w:val="none" w:sz="0" w:space="0" w:color="auto"/>
        <w:bottom w:val="none" w:sz="0" w:space="0" w:color="auto"/>
        <w:right w:val="none" w:sz="0" w:space="0" w:color="auto"/>
      </w:divBdr>
    </w:div>
    <w:div w:id="689794419">
      <w:bodyDiv w:val="1"/>
      <w:marLeft w:val="0"/>
      <w:marRight w:val="0"/>
      <w:marTop w:val="0"/>
      <w:marBottom w:val="0"/>
      <w:divBdr>
        <w:top w:val="none" w:sz="0" w:space="0" w:color="auto"/>
        <w:left w:val="none" w:sz="0" w:space="0" w:color="auto"/>
        <w:bottom w:val="none" w:sz="0" w:space="0" w:color="auto"/>
        <w:right w:val="none" w:sz="0" w:space="0" w:color="auto"/>
      </w:divBdr>
    </w:div>
    <w:div w:id="802192681">
      <w:bodyDiv w:val="1"/>
      <w:marLeft w:val="0"/>
      <w:marRight w:val="0"/>
      <w:marTop w:val="0"/>
      <w:marBottom w:val="0"/>
      <w:divBdr>
        <w:top w:val="none" w:sz="0" w:space="0" w:color="auto"/>
        <w:left w:val="none" w:sz="0" w:space="0" w:color="auto"/>
        <w:bottom w:val="none" w:sz="0" w:space="0" w:color="auto"/>
        <w:right w:val="none" w:sz="0" w:space="0" w:color="auto"/>
      </w:divBdr>
    </w:div>
    <w:div w:id="822938880">
      <w:bodyDiv w:val="1"/>
      <w:marLeft w:val="0"/>
      <w:marRight w:val="0"/>
      <w:marTop w:val="0"/>
      <w:marBottom w:val="0"/>
      <w:divBdr>
        <w:top w:val="none" w:sz="0" w:space="0" w:color="auto"/>
        <w:left w:val="none" w:sz="0" w:space="0" w:color="auto"/>
        <w:bottom w:val="none" w:sz="0" w:space="0" w:color="auto"/>
        <w:right w:val="none" w:sz="0" w:space="0" w:color="auto"/>
      </w:divBdr>
    </w:div>
    <w:div w:id="852765875">
      <w:bodyDiv w:val="1"/>
      <w:marLeft w:val="0"/>
      <w:marRight w:val="0"/>
      <w:marTop w:val="0"/>
      <w:marBottom w:val="0"/>
      <w:divBdr>
        <w:top w:val="none" w:sz="0" w:space="0" w:color="auto"/>
        <w:left w:val="none" w:sz="0" w:space="0" w:color="auto"/>
        <w:bottom w:val="none" w:sz="0" w:space="0" w:color="auto"/>
        <w:right w:val="none" w:sz="0" w:space="0" w:color="auto"/>
      </w:divBdr>
    </w:div>
    <w:div w:id="972565993">
      <w:bodyDiv w:val="1"/>
      <w:marLeft w:val="0"/>
      <w:marRight w:val="0"/>
      <w:marTop w:val="0"/>
      <w:marBottom w:val="0"/>
      <w:divBdr>
        <w:top w:val="none" w:sz="0" w:space="0" w:color="auto"/>
        <w:left w:val="none" w:sz="0" w:space="0" w:color="auto"/>
        <w:bottom w:val="none" w:sz="0" w:space="0" w:color="auto"/>
        <w:right w:val="none" w:sz="0" w:space="0" w:color="auto"/>
      </w:divBdr>
    </w:div>
    <w:div w:id="1007098124">
      <w:bodyDiv w:val="1"/>
      <w:marLeft w:val="0"/>
      <w:marRight w:val="0"/>
      <w:marTop w:val="0"/>
      <w:marBottom w:val="0"/>
      <w:divBdr>
        <w:top w:val="none" w:sz="0" w:space="0" w:color="auto"/>
        <w:left w:val="none" w:sz="0" w:space="0" w:color="auto"/>
        <w:bottom w:val="none" w:sz="0" w:space="0" w:color="auto"/>
        <w:right w:val="none" w:sz="0" w:space="0" w:color="auto"/>
      </w:divBdr>
    </w:div>
    <w:div w:id="1122963641">
      <w:bodyDiv w:val="1"/>
      <w:marLeft w:val="0"/>
      <w:marRight w:val="0"/>
      <w:marTop w:val="0"/>
      <w:marBottom w:val="0"/>
      <w:divBdr>
        <w:top w:val="none" w:sz="0" w:space="0" w:color="auto"/>
        <w:left w:val="none" w:sz="0" w:space="0" w:color="auto"/>
        <w:bottom w:val="none" w:sz="0" w:space="0" w:color="auto"/>
        <w:right w:val="none" w:sz="0" w:space="0" w:color="auto"/>
      </w:divBdr>
    </w:div>
    <w:div w:id="1192500527">
      <w:bodyDiv w:val="1"/>
      <w:marLeft w:val="0"/>
      <w:marRight w:val="0"/>
      <w:marTop w:val="0"/>
      <w:marBottom w:val="0"/>
      <w:divBdr>
        <w:top w:val="none" w:sz="0" w:space="0" w:color="auto"/>
        <w:left w:val="none" w:sz="0" w:space="0" w:color="auto"/>
        <w:bottom w:val="none" w:sz="0" w:space="0" w:color="auto"/>
        <w:right w:val="none" w:sz="0" w:space="0" w:color="auto"/>
      </w:divBdr>
    </w:div>
    <w:div w:id="1200364075">
      <w:bodyDiv w:val="1"/>
      <w:marLeft w:val="0"/>
      <w:marRight w:val="0"/>
      <w:marTop w:val="0"/>
      <w:marBottom w:val="0"/>
      <w:divBdr>
        <w:top w:val="none" w:sz="0" w:space="0" w:color="auto"/>
        <w:left w:val="none" w:sz="0" w:space="0" w:color="auto"/>
        <w:bottom w:val="none" w:sz="0" w:space="0" w:color="auto"/>
        <w:right w:val="none" w:sz="0" w:space="0" w:color="auto"/>
      </w:divBdr>
    </w:div>
    <w:div w:id="1216813204">
      <w:bodyDiv w:val="1"/>
      <w:marLeft w:val="0"/>
      <w:marRight w:val="0"/>
      <w:marTop w:val="0"/>
      <w:marBottom w:val="0"/>
      <w:divBdr>
        <w:top w:val="none" w:sz="0" w:space="0" w:color="auto"/>
        <w:left w:val="none" w:sz="0" w:space="0" w:color="auto"/>
        <w:bottom w:val="none" w:sz="0" w:space="0" w:color="auto"/>
        <w:right w:val="none" w:sz="0" w:space="0" w:color="auto"/>
      </w:divBdr>
    </w:div>
    <w:div w:id="1364211242">
      <w:bodyDiv w:val="1"/>
      <w:marLeft w:val="0"/>
      <w:marRight w:val="0"/>
      <w:marTop w:val="0"/>
      <w:marBottom w:val="0"/>
      <w:divBdr>
        <w:top w:val="none" w:sz="0" w:space="0" w:color="auto"/>
        <w:left w:val="none" w:sz="0" w:space="0" w:color="auto"/>
        <w:bottom w:val="none" w:sz="0" w:space="0" w:color="auto"/>
        <w:right w:val="none" w:sz="0" w:space="0" w:color="auto"/>
      </w:divBdr>
    </w:div>
    <w:div w:id="1432553065">
      <w:bodyDiv w:val="1"/>
      <w:marLeft w:val="0"/>
      <w:marRight w:val="0"/>
      <w:marTop w:val="0"/>
      <w:marBottom w:val="0"/>
      <w:divBdr>
        <w:top w:val="none" w:sz="0" w:space="0" w:color="auto"/>
        <w:left w:val="none" w:sz="0" w:space="0" w:color="auto"/>
        <w:bottom w:val="none" w:sz="0" w:space="0" w:color="auto"/>
        <w:right w:val="none" w:sz="0" w:space="0" w:color="auto"/>
      </w:divBdr>
    </w:div>
    <w:div w:id="1762070784">
      <w:bodyDiv w:val="1"/>
      <w:marLeft w:val="0"/>
      <w:marRight w:val="0"/>
      <w:marTop w:val="0"/>
      <w:marBottom w:val="0"/>
      <w:divBdr>
        <w:top w:val="none" w:sz="0" w:space="0" w:color="auto"/>
        <w:left w:val="none" w:sz="0" w:space="0" w:color="auto"/>
        <w:bottom w:val="none" w:sz="0" w:space="0" w:color="auto"/>
        <w:right w:val="none" w:sz="0" w:space="0" w:color="auto"/>
      </w:divBdr>
    </w:div>
    <w:div w:id="1889222018">
      <w:bodyDiv w:val="1"/>
      <w:marLeft w:val="0"/>
      <w:marRight w:val="0"/>
      <w:marTop w:val="0"/>
      <w:marBottom w:val="0"/>
      <w:divBdr>
        <w:top w:val="none" w:sz="0" w:space="0" w:color="auto"/>
        <w:left w:val="none" w:sz="0" w:space="0" w:color="auto"/>
        <w:bottom w:val="none" w:sz="0" w:space="0" w:color="auto"/>
        <w:right w:val="none" w:sz="0" w:space="0" w:color="auto"/>
      </w:divBdr>
    </w:div>
    <w:div w:id="1922254051">
      <w:bodyDiv w:val="1"/>
      <w:marLeft w:val="0"/>
      <w:marRight w:val="0"/>
      <w:marTop w:val="0"/>
      <w:marBottom w:val="0"/>
      <w:divBdr>
        <w:top w:val="none" w:sz="0" w:space="0" w:color="auto"/>
        <w:left w:val="none" w:sz="0" w:space="0" w:color="auto"/>
        <w:bottom w:val="none" w:sz="0" w:space="0" w:color="auto"/>
        <w:right w:val="none" w:sz="0" w:space="0" w:color="auto"/>
      </w:divBdr>
    </w:div>
    <w:div w:id="21351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A. Boren</cp:lastModifiedBy>
  <cp:revision>2</cp:revision>
  <dcterms:created xsi:type="dcterms:W3CDTF">2018-05-21T17:58:00Z</dcterms:created>
  <dcterms:modified xsi:type="dcterms:W3CDTF">2018-05-21T17:58:00Z</dcterms:modified>
</cp:coreProperties>
</file>